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44F5" w:rsidRPr="00424F23" w:rsidRDefault="007044F5" w:rsidP="007044F5">
      <w:pPr>
        <w:spacing w:before="168" w:after="168" w:line="360" w:lineRule="atLeast"/>
        <w:ind w:left="-284"/>
        <w:jc w:val="center"/>
        <w:rPr>
          <w:rFonts w:ascii="Verdana" w:hAnsi="Verdana" w:cs="Arial"/>
          <w:b/>
          <w:bCs/>
          <w:color w:val="000000"/>
          <w:sz w:val="28"/>
          <w:szCs w:val="28"/>
          <w:lang w:eastAsia="en-CA"/>
        </w:rPr>
      </w:pPr>
      <w:r w:rsidRPr="00424F23">
        <w:rPr>
          <w:rFonts w:ascii="Verdana" w:hAnsi="Verdana" w:cs="Arial"/>
          <w:b/>
          <w:bCs/>
          <w:color w:val="000000"/>
          <w:sz w:val="28"/>
          <w:szCs w:val="28"/>
          <w:lang w:eastAsia="en-CA"/>
        </w:rPr>
        <w:t>Minimum Stocking Standards</w:t>
      </w:r>
      <w:r w:rsidR="00424F23" w:rsidRPr="00424F23">
        <w:rPr>
          <w:rFonts w:ascii="Verdana" w:hAnsi="Verdana" w:cs="Arial"/>
          <w:b/>
          <w:bCs/>
          <w:color w:val="000000"/>
          <w:sz w:val="28"/>
          <w:szCs w:val="28"/>
          <w:lang w:eastAsia="en-CA"/>
        </w:rPr>
        <w:t>,</w:t>
      </w:r>
      <w:r w:rsidRPr="00424F23">
        <w:rPr>
          <w:rFonts w:ascii="Verdana" w:hAnsi="Verdana" w:cs="Arial"/>
          <w:b/>
          <w:bCs/>
          <w:color w:val="000000"/>
          <w:sz w:val="28"/>
          <w:szCs w:val="28"/>
          <w:lang w:eastAsia="en-CA"/>
        </w:rPr>
        <w:t xml:space="preserve"> </w:t>
      </w:r>
      <w:r w:rsidR="003127C9" w:rsidRPr="00424F23">
        <w:rPr>
          <w:rFonts w:ascii="Verdana" w:hAnsi="Verdana" w:cs="Arial"/>
          <w:b/>
          <w:bCs/>
          <w:color w:val="000000"/>
          <w:sz w:val="28"/>
          <w:szCs w:val="28"/>
          <w:lang w:eastAsia="en-CA"/>
        </w:rPr>
        <w:t xml:space="preserve">some of </w:t>
      </w:r>
      <w:r w:rsidRPr="00424F23">
        <w:rPr>
          <w:rFonts w:ascii="Verdana" w:hAnsi="Verdana" w:cs="Arial"/>
          <w:b/>
          <w:bCs/>
          <w:color w:val="000000"/>
          <w:sz w:val="28"/>
          <w:szCs w:val="28"/>
          <w:lang w:eastAsia="en-CA"/>
        </w:rPr>
        <w:t>the Forest Management Assumptions on which they are based</w:t>
      </w:r>
      <w:r w:rsidR="00424F23" w:rsidRPr="00424F23">
        <w:rPr>
          <w:rFonts w:ascii="Verdana" w:hAnsi="Verdana" w:cs="Arial"/>
          <w:b/>
          <w:bCs/>
          <w:color w:val="000000"/>
          <w:sz w:val="28"/>
          <w:szCs w:val="28"/>
          <w:lang w:eastAsia="en-CA"/>
        </w:rPr>
        <w:t xml:space="preserve">, and some of the realities that </w:t>
      </w:r>
      <w:r w:rsidR="00853ED3">
        <w:rPr>
          <w:rFonts w:ascii="Verdana" w:hAnsi="Verdana" w:cs="Arial"/>
          <w:b/>
          <w:bCs/>
          <w:color w:val="000000"/>
          <w:sz w:val="28"/>
          <w:szCs w:val="28"/>
          <w:lang w:eastAsia="en-CA"/>
        </w:rPr>
        <w:t>c</w:t>
      </w:r>
      <w:r w:rsidR="00424F23" w:rsidRPr="00424F23">
        <w:rPr>
          <w:rFonts w:ascii="Verdana" w:hAnsi="Verdana" w:cs="Arial"/>
          <w:b/>
          <w:bCs/>
          <w:color w:val="000000"/>
          <w:sz w:val="28"/>
          <w:szCs w:val="28"/>
          <w:lang w:eastAsia="en-CA"/>
        </w:rPr>
        <w:t xml:space="preserve">ould inform their revision </w:t>
      </w:r>
    </w:p>
    <w:p w:rsidR="00F027D5" w:rsidRDefault="00F027D5" w:rsidP="007044F5">
      <w:pPr>
        <w:spacing w:before="168" w:after="168" w:line="360" w:lineRule="atLeast"/>
        <w:ind w:left="-284"/>
        <w:jc w:val="center"/>
        <w:rPr>
          <w:rFonts w:ascii="Arial" w:hAnsi="Arial" w:cs="Arial"/>
          <w:b/>
          <w:bCs/>
          <w:color w:val="000000"/>
          <w:sz w:val="28"/>
          <w:szCs w:val="28"/>
          <w:lang w:eastAsia="en-CA"/>
        </w:rPr>
      </w:pPr>
      <w:r>
        <w:rPr>
          <w:rFonts w:ascii="Arial" w:hAnsi="Arial" w:cs="Arial"/>
          <w:b/>
          <w:bCs/>
          <w:color w:val="000000"/>
          <w:sz w:val="28"/>
          <w:szCs w:val="28"/>
          <w:lang w:eastAsia="en-CA"/>
        </w:rPr>
        <w:t>Alex Woods, FLNRO, Smithers BC,</w:t>
      </w:r>
      <w:r w:rsidR="00A1769F">
        <w:rPr>
          <w:rFonts w:ascii="Arial" w:hAnsi="Arial" w:cs="Arial"/>
          <w:b/>
          <w:bCs/>
          <w:color w:val="000000"/>
          <w:sz w:val="28"/>
          <w:szCs w:val="28"/>
          <w:lang w:eastAsia="en-CA"/>
        </w:rPr>
        <w:t xml:space="preserve">  (2012 06 19, NSC Summer Tour)</w:t>
      </w:r>
    </w:p>
    <w:p w:rsidR="003F3F8C" w:rsidRDefault="007044F5">
      <w:pPr>
        <w:rPr>
          <w:rFonts w:ascii="Arial" w:hAnsi="Arial" w:cs="Arial"/>
          <w:b/>
          <w:bCs/>
          <w:color w:val="000000"/>
          <w:sz w:val="28"/>
          <w:szCs w:val="28"/>
          <w:lang w:eastAsia="en-CA"/>
        </w:rPr>
      </w:pPr>
      <w:r>
        <w:rPr>
          <w:rFonts w:ascii="Arial" w:hAnsi="Arial" w:cs="Arial"/>
          <w:b/>
          <w:bCs/>
          <w:noProof/>
          <w:color w:val="000000"/>
          <w:sz w:val="28"/>
          <w:szCs w:val="28"/>
          <w:lang w:eastAsia="en-CA"/>
        </w:rPr>
        <w:drawing>
          <wp:inline distT="0" distB="0" distL="0" distR="0">
            <wp:extent cx="4044766" cy="3104875"/>
            <wp:effectExtent l="19050" t="0" r="0" b="0"/>
            <wp:docPr id="3" name="Picture 1" descr="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23.JPG"/>
                    <pic:cNvPicPr/>
                  </pic:nvPicPr>
                  <pic:blipFill>
                    <a:blip r:embed="rId5" cstate="print"/>
                    <a:stretch>
                      <a:fillRect/>
                    </a:stretch>
                  </pic:blipFill>
                  <pic:spPr>
                    <a:xfrm>
                      <a:off x="0" y="0"/>
                      <a:ext cx="4044766" cy="3104875"/>
                    </a:xfrm>
                    <a:prstGeom prst="rect">
                      <a:avLst/>
                    </a:prstGeom>
                  </pic:spPr>
                </pic:pic>
              </a:graphicData>
            </a:graphic>
          </wp:inline>
        </w:drawing>
      </w:r>
    </w:p>
    <w:p w:rsidR="007044F5" w:rsidRDefault="003F3F8C" w:rsidP="003F3F8C">
      <w:pPr>
        <w:ind w:left="2160" w:firstLine="720"/>
        <w:rPr>
          <w:rFonts w:ascii="Arial" w:hAnsi="Arial" w:cs="Arial"/>
          <w:b/>
          <w:bCs/>
          <w:color w:val="000000"/>
          <w:sz w:val="28"/>
          <w:szCs w:val="28"/>
          <w:lang w:eastAsia="en-CA"/>
        </w:rPr>
      </w:pPr>
      <w:r>
        <w:rPr>
          <w:rFonts w:ascii="Arial" w:hAnsi="Arial" w:cs="Arial"/>
          <w:b/>
          <w:bCs/>
          <w:noProof/>
          <w:color w:val="000000"/>
          <w:sz w:val="28"/>
          <w:szCs w:val="28"/>
          <w:lang w:eastAsia="en-CA"/>
        </w:rPr>
        <w:drawing>
          <wp:inline distT="0" distB="0" distL="0" distR="0">
            <wp:extent cx="4635499" cy="3476625"/>
            <wp:effectExtent l="19050" t="0" r="0" b="0"/>
            <wp:docPr id="8" name="Picture 7" descr="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36.JPG"/>
                    <pic:cNvPicPr/>
                  </pic:nvPicPr>
                  <pic:blipFill>
                    <a:blip r:embed="rId6" cstate="print"/>
                    <a:stretch>
                      <a:fillRect/>
                    </a:stretch>
                  </pic:blipFill>
                  <pic:spPr>
                    <a:xfrm>
                      <a:off x="0" y="0"/>
                      <a:ext cx="4635499" cy="3476625"/>
                    </a:xfrm>
                    <a:prstGeom prst="rect">
                      <a:avLst/>
                    </a:prstGeom>
                  </pic:spPr>
                </pic:pic>
              </a:graphicData>
            </a:graphic>
          </wp:inline>
        </w:drawing>
      </w:r>
      <w:r w:rsidR="007044F5">
        <w:rPr>
          <w:rFonts w:ascii="Arial" w:hAnsi="Arial" w:cs="Arial"/>
          <w:b/>
          <w:bCs/>
          <w:color w:val="000000"/>
          <w:sz w:val="28"/>
          <w:szCs w:val="28"/>
          <w:lang w:eastAsia="en-CA"/>
        </w:rPr>
        <w:br w:type="page"/>
      </w:r>
    </w:p>
    <w:p w:rsidR="00BE59F6" w:rsidRPr="00BE59F6" w:rsidRDefault="004A4970" w:rsidP="00BE59F6">
      <w:pPr>
        <w:spacing w:before="168" w:after="168" w:line="360" w:lineRule="atLeast"/>
        <w:ind w:left="-284"/>
        <w:rPr>
          <w:rFonts w:ascii="Verdana" w:hAnsi="Verdana"/>
          <w:color w:val="000000"/>
          <w:sz w:val="16"/>
          <w:szCs w:val="16"/>
          <w:lang w:eastAsia="en-CA"/>
        </w:rPr>
      </w:pPr>
      <w:proofErr w:type="gramStart"/>
      <w:r w:rsidRPr="00BE59F6">
        <w:rPr>
          <w:rFonts w:ascii="Calibri" w:hAnsi="Calibri"/>
          <w:b/>
          <w:bCs/>
          <w:color w:val="000000"/>
          <w:lang w:eastAsia="en-CA"/>
        </w:rPr>
        <w:lastRenderedPageBreak/>
        <w:t>Minister's consideration of stocking standards</w:t>
      </w:r>
      <w:r w:rsidR="00BE59F6">
        <w:rPr>
          <w:rFonts w:ascii="Calibri" w:hAnsi="Calibri"/>
          <w:b/>
          <w:bCs/>
          <w:color w:val="000000"/>
          <w:lang w:eastAsia="en-CA"/>
        </w:rPr>
        <w:t xml:space="preserve">  </w:t>
      </w:r>
      <w:r w:rsidRPr="00BE59F6">
        <w:rPr>
          <w:rFonts w:ascii="Calibri" w:hAnsi="Calibri"/>
          <w:b/>
          <w:bCs/>
          <w:color w:val="000000"/>
          <w:sz w:val="24"/>
          <w:szCs w:val="24"/>
          <w:lang w:eastAsia="en-CA"/>
        </w:rPr>
        <w:t xml:space="preserve"> </w:t>
      </w:r>
      <w:r w:rsidR="00BE59F6" w:rsidRPr="00BE59F6">
        <w:rPr>
          <w:rFonts w:ascii="Verdana" w:hAnsi="Verdana"/>
          <w:color w:val="000000"/>
          <w:sz w:val="16"/>
          <w:szCs w:val="16"/>
          <w:lang w:eastAsia="en-CA"/>
        </w:rPr>
        <w:t>[en.</w:t>
      </w:r>
      <w:proofErr w:type="gramEnd"/>
      <w:r w:rsidR="00BE59F6" w:rsidRPr="00BE59F6">
        <w:rPr>
          <w:rFonts w:ascii="Verdana" w:hAnsi="Verdana"/>
          <w:color w:val="000000"/>
          <w:sz w:val="16"/>
          <w:szCs w:val="16"/>
          <w:lang w:eastAsia="en-CA"/>
        </w:rPr>
        <w:t xml:space="preserve"> B.C. Reg. 580/2004, s. 24; am. B.C. Reg. 62/2005, s. 3.]</w:t>
      </w:r>
    </w:p>
    <w:p w:rsidR="004A4970" w:rsidRPr="00526EFF" w:rsidRDefault="004A4970" w:rsidP="00526EFF">
      <w:pPr>
        <w:spacing w:before="168" w:after="168" w:line="360" w:lineRule="atLeast"/>
        <w:ind w:left="1392" w:hanging="516"/>
        <w:rPr>
          <w:rFonts w:ascii="Verdana" w:hAnsi="Verdana"/>
          <w:color w:val="000000"/>
          <w:sz w:val="18"/>
          <w:szCs w:val="18"/>
          <w:lang w:eastAsia="en-CA"/>
        </w:rPr>
      </w:pPr>
      <w:r w:rsidRPr="00526EFF">
        <w:rPr>
          <w:rFonts w:ascii="Courier New" w:hAnsi="Courier New" w:cs="Courier New"/>
          <w:b/>
          <w:bCs/>
          <w:color w:val="000000"/>
          <w:sz w:val="18"/>
          <w:szCs w:val="18"/>
          <w:lang w:eastAsia="en-CA"/>
        </w:rPr>
        <w:t>26</w:t>
      </w:r>
      <w:r w:rsidRPr="00526EFF">
        <w:rPr>
          <w:rFonts w:ascii="Verdana" w:hAnsi="Verdana"/>
          <w:color w:val="000000"/>
          <w:sz w:val="18"/>
          <w:szCs w:val="18"/>
          <w:lang w:eastAsia="en-CA"/>
        </w:rPr>
        <w:t xml:space="preserve"> (3)  The minister must approve the regeneration date, free growing height and stocking standards referred to in section 16 (3) if the minister is satisfied that </w:t>
      </w:r>
    </w:p>
    <w:p w:rsidR="004A4970" w:rsidRPr="00526EFF" w:rsidRDefault="004A4970" w:rsidP="004A4970">
      <w:pPr>
        <w:spacing w:before="120" w:line="360" w:lineRule="atLeast"/>
        <w:ind w:left="2880"/>
        <w:rPr>
          <w:rFonts w:ascii="Verdana" w:hAnsi="Verdana"/>
          <w:color w:val="000000"/>
          <w:sz w:val="18"/>
          <w:szCs w:val="18"/>
          <w:lang w:eastAsia="en-CA"/>
        </w:rPr>
      </w:pPr>
      <w:r w:rsidRPr="00526EFF">
        <w:rPr>
          <w:rFonts w:ascii="Verdana" w:hAnsi="Verdana"/>
          <w:color w:val="000000"/>
          <w:sz w:val="18"/>
          <w:szCs w:val="18"/>
          <w:lang w:eastAsia="en-CA"/>
        </w:rPr>
        <w:t xml:space="preserve">(a) the regeneration date and the standards will result in the area being stocked with ecologically suitable species that address immediate and long-term forest health issues on the area, to a density or to a basal area that, in either case, </w:t>
      </w:r>
    </w:p>
    <w:p w:rsidR="004A4970" w:rsidRPr="00526EFF" w:rsidRDefault="004A4970" w:rsidP="004A4970">
      <w:pPr>
        <w:spacing w:before="72" w:line="360" w:lineRule="atLeast"/>
        <w:ind w:left="3600"/>
        <w:rPr>
          <w:rFonts w:ascii="Verdana" w:hAnsi="Verdana"/>
          <w:color w:val="000000"/>
          <w:sz w:val="18"/>
          <w:szCs w:val="18"/>
          <w:lang w:eastAsia="en-CA"/>
        </w:rPr>
      </w:pPr>
      <w:r w:rsidRPr="00526EFF">
        <w:rPr>
          <w:rFonts w:ascii="Verdana" w:hAnsi="Verdana"/>
          <w:color w:val="000000"/>
          <w:sz w:val="18"/>
          <w:szCs w:val="18"/>
          <w:lang w:eastAsia="en-CA"/>
        </w:rPr>
        <w:t>(</w:t>
      </w:r>
      <w:proofErr w:type="spellStart"/>
      <w:proofErr w:type="gramStart"/>
      <w:r w:rsidRPr="00526EFF">
        <w:rPr>
          <w:rFonts w:ascii="Verdana" w:hAnsi="Verdana"/>
          <w:color w:val="000000"/>
          <w:sz w:val="18"/>
          <w:szCs w:val="18"/>
          <w:lang w:eastAsia="en-CA"/>
        </w:rPr>
        <w:t>i</w:t>
      </w:r>
      <w:proofErr w:type="spellEnd"/>
      <w:proofErr w:type="gramEnd"/>
      <w:r w:rsidRPr="00526EFF">
        <w:rPr>
          <w:rFonts w:ascii="Verdana" w:hAnsi="Verdana"/>
          <w:color w:val="000000"/>
          <w:sz w:val="18"/>
          <w:szCs w:val="18"/>
          <w:lang w:eastAsia="en-CA"/>
        </w:rPr>
        <w:t xml:space="preserve">)  is consistent with maintaining or enhancing an economically valuable supply of commercial timber from British Columbia's forests, and </w:t>
      </w:r>
    </w:p>
    <w:p w:rsidR="004A4970" w:rsidRPr="00526EFF" w:rsidRDefault="004A4970" w:rsidP="004A4970">
      <w:pPr>
        <w:spacing w:before="72" w:line="360" w:lineRule="atLeast"/>
        <w:ind w:left="3600"/>
        <w:rPr>
          <w:rFonts w:ascii="Verdana" w:hAnsi="Verdana"/>
          <w:color w:val="000000"/>
          <w:sz w:val="18"/>
          <w:szCs w:val="18"/>
          <w:lang w:eastAsia="en-CA"/>
        </w:rPr>
      </w:pPr>
      <w:r w:rsidRPr="00526EFF">
        <w:rPr>
          <w:rFonts w:ascii="Verdana" w:hAnsi="Verdana"/>
          <w:color w:val="000000"/>
          <w:sz w:val="18"/>
          <w:szCs w:val="18"/>
          <w:lang w:eastAsia="en-CA"/>
        </w:rPr>
        <w:t>(</w:t>
      </w:r>
      <w:proofErr w:type="gramStart"/>
      <w:r w:rsidRPr="00526EFF">
        <w:rPr>
          <w:rFonts w:ascii="Verdana" w:hAnsi="Verdana"/>
          <w:color w:val="000000"/>
          <w:sz w:val="18"/>
          <w:szCs w:val="18"/>
          <w:lang w:eastAsia="en-CA"/>
        </w:rPr>
        <w:t>ii</w:t>
      </w:r>
      <w:proofErr w:type="gramEnd"/>
      <w:r w:rsidRPr="00526EFF">
        <w:rPr>
          <w:rFonts w:ascii="Verdana" w:hAnsi="Verdana"/>
          <w:color w:val="000000"/>
          <w:sz w:val="18"/>
          <w:szCs w:val="18"/>
          <w:lang w:eastAsia="en-CA"/>
        </w:rPr>
        <w:t xml:space="preserve">)  </w:t>
      </w:r>
      <w:r w:rsidRPr="00526EFF">
        <w:rPr>
          <w:rFonts w:ascii="Verdana" w:hAnsi="Verdana"/>
          <w:color w:val="000000"/>
          <w:sz w:val="18"/>
          <w:szCs w:val="18"/>
          <w:highlight w:val="yellow"/>
          <w:lang w:eastAsia="en-CA"/>
        </w:rPr>
        <w:t>is consistent with the timber supply analysis and forest management assumptions that apply to the area covered by the plan on the date that the plan is submitted for approval, and</w:t>
      </w:r>
      <w:r w:rsidRPr="00526EFF">
        <w:rPr>
          <w:rFonts w:ascii="Verdana" w:hAnsi="Verdana"/>
          <w:color w:val="000000"/>
          <w:sz w:val="18"/>
          <w:szCs w:val="18"/>
          <w:lang w:eastAsia="en-CA"/>
        </w:rPr>
        <w:t xml:space="preserve"> </w:t>
      </w:r>
    </w:p>
    <w:p w:rsidR="004A4970" w:rsidRPr="00526EFF" w:rsidRDefault="004A4970" w:rsidP="004A4970">
      <w:pPr>
        <w:spacing w:before="120" w:line="360" w:lineRule="atLeast"/>
        <w:ind w:left="2880"/>
        <w:rPr>
          <w:rFonts w:ascii="Verdana" w:hAnsi="Verdana"/>
          <w:color w:val="000000"/>
          <w:sz w:val="18"/>
          <w:szCs w:val="18"/>
          <w:lang w:eastAsia="en-CA"/>
        </w:rPr>
      </w:pPr>
      <w:r w:rsidRPr="00526EFF">
        <w:rPr>
          <w:rFonts w:ascii="Verdana" w:hAnsi="Verdana"/>
          <w:color w:val="000000"/>
          <w:sz w:val="18"/>
          <w:szCs w:val="18"/>
          <w:lang w:eastAsia="en-CA"/>
        </w:rPr>
        <w:t>(b) </w:t>
      </w:r>
      <w:proofErr w:type="gramStart"/>
      <w:r w:rsidRPr="00526EFF">
        <w:rPr>
          <w:rFonts w:ascii="Verdana" w:hAnsi="Verdana"/>
          <w:color w:val="000000"/>
          <w:sz w:val="18"/>
          <w:szCs w:val="18"/>
          <w:lang w:eastAsia="en-CA"/>
        </w:rPr>
        <w:t>the</w:t>
      </w:r>
      <w:proofErr w:type="gramEnd"/>
      <w:r w:rsidRPr="00526EFF">
        <w:rPr>
          <w:rFonts w:ascii="Verdana" w:hAnsi="Verdana"/>
          <w:color w:val="000000"/>
          <w:sz w:val="18"/>
          <w:szCs w:val="18"/>
          <w:lang w:eastAsia="en-CA"/>
        </w:rPr>
        <w:t xml:space="preserve"> free growing height is of sufficient height to demonstrate that the tree is adapted to the site, and is growing well and can reasonably be expected to continue to do so. </w:t>
      </w:r>
    </w:p>
    <w:p w:rsidR="004A4970" w:rsidRPr="00526EFF" w:rsidRDefault="004A4970" w:rsidP="004A4970">
      <w:pPr>
        <w:spacing w:before="144" w:line="360" w:lineRule="atLeast"/>
        <w:ind w:left="1392"/>
        <w:rPr>
          <w:rFonts w:ascii="Verdana" w:hAnsi="Verdana"/>
          <w:color w:val="000000"/>
          <w:sz w:val="18"/>
          <w:szCs w:val="18"/>
          <w:lang w:eastAsia="en-CA"/>
        </w:rPr>
      </w:pPr>
      <w:r w:rsidRPr="00526EFF">
        <w:rPr>
          <w:rFonts w:ascii="Verdana" w:hAnsi="Verdana"/>
          <w:color w:val="000000"/>
          <w:sz w:val="18"/>
          <w:szCs w:val="18"/>
          <w:lang w:eastAsia="en-CA"/>
        </w:rPr>
        <w:t xml:space="preserve">(4)  The minister must approve the stocking standards referred to in section 16 (4) if the minister is satisfied that the standards will result in the area being stocked with ecologically suitable species that address immediate and long-term forest health issues on the area, to a density or to a basal area that, in either case, is </w:t>
      </w:r>
      <w:r w:rsidRPr="00BE59F6">
        <w:rPr>
          <w:rFonts w:ascii="Verdana" w:hAnsi="Verdana"/>
          <w:color w:val="000000"/>
          <w:sz w:val="18"/>
          <w:szCs w:val="18"/>
          <w:highlight w:val="yellow"/>
          <w:lang w:eastAsia="en-CA"/>
        </w:rPr>
        <w:t>consistent with</w:t>
      </w:r>
      <w:r w:rsidRPr="00526EFF">
        <w:rPr>
          <w:rFonts w:ascii="Verdana" w:hAnsi="Verdana"/>
          <w:color w:val="000000"/>
          <w:sz w:val="18"/>
          <w:szCs w:val="18"/>
          <w:lang w:eastAsia="en-CA"/>
        </w:rPr>
        <w:t xml:space="preserve"> </w:t>
      </w:r>
    </w:p>
    <w:p w:rsidR="004A4970" w:rsidRPr="00526EFF" w:rsidRDefault="004A4970" w:rsidP="004A4970">
      <w:pPr>
        <w:spacing w:before="120" w:line="360" w:lineRule="atLeast"/>
        <w:ind w:left="2880"/>
        <w:rPr>
          <w:rFonts w:ascii="Verdana" w:hAnsi="Verdana"/>
          <w:color w:val="000000"/>
          <w:sz w:val="18"/>
          <w:szCs w:val="18"/>
          <w:lang w:eastAsia="en-CA"/>
        </w:rPr>
      </w:pPr>
      <w:r w:rsidRPr="00526EFF">
        <w:rPr>
          <w:rFonts w:ascii="Verdana" w:hAnsi="Verdana"/>
          <w:color w:val="000000"/>
          <w:sz w:val="18"/>
          <w:szCs w:val="18"/>
          <w:lang w:eastAsia="en-CA"/>
        </w:rPr>
        <w:t>(a) </w:t>
      </w:r>
      <w:proofErr w:type="gramStart"/>
      <w:r w:rsidRPr="00526EFF">
        <w:rPr>
          <w:rFonts w:ascii="Verdana" w:hAnsi="Verdana"/>
          <w:color w:val="000000"/>
          <w:sz w:val="18"/>
          <w:szCs w:val="18"/>
          <w:lang w:eastAsia="en-CA"/>
        </w:rPr>
        <w:t>maintaining</w:t>
      </w:r>
      <w:proofErr w:type="gramEnd"/>
      <w:r w:rsidRPr="00526EFF">
        <w:rPr>
          <w:rFonts w:ascii="Verdana" w:hAnsi="Verdana"/>
          <w:color w:val="000000"/>
          <w:sz w:val="18"/>
          <w:szCs w:val="18"/>
          <w:lang w:eastAsia="en-CA"/>
        </w:rPr>
        <w:t xml:space="preserve"> or enhancing an economically valuable supply of commercial timber from British Columbia's forests, and</w:t>
      </w:r>
    </w:p>
    <w:p w:rsidR="004A4970" w:rsidRPr="00526EFF" w:rsidRDefault="004A4970" w:rsidP="004A4970">
      <w:pPr>
        <w:spacing w:before="120" w:line="360" w:lineRule="atLeast"/>
        <w:ind w:left="2880"/>
        <w:rPr>
          <w:rFonts w:ascii="Verdana" w:hAnsi="Verdana"/>
          <w:color w:val="000000"/>
          <w:sz w:val="18"/>
          <w:szCs w:val="18"/>
          <w:lang w:eastAsia="en-CA"/>
        </w:rPr>
      </w:pPr>
      <w:r w:rsidRPr="00526EFF">
        <w:rPr>
          <w:rFonts w:ascii="Verdana" w:hAnsi="Verdana"/>
          <w:color w:val="000000"/>
          <w:sz w:val="18"/>
          <w:szCs w:val="18"/>
          <w:lang w:eastAsia="en-CA"/>
        </w:rPr>
        <w:t>(b</w:t>
      </w:r>
      <w:r w:rsidRPr="00BE59F6">
        <w:rPr>
          <w:rFonts w:ascii="Verdana" w:hAnsi="Verdana"/>
          <w:color w:val="000000"/>
          <w:sz w:val="18"/>
          <w:szCs w:val="18"/>
          <w:highlight w:val="yellow"/>
          <w:lang w:eastAsia="en-CA"/>
        </w:rPr>
        <w:t>) </w:t>
      </w:r>
      <w:proofErr w:type="gramStart"/>
      <w:r w:rsidRPr="00BE59F6">
        <w:rPr>
          <w:rFonts w:ascii="Verdana" w:hAnsi="Verdana"/>
          <w:color w:val="000000"/>
          <w:sz w:val="18"/>
          <w:szCs w:val="18"/>
          <w:highlight w:val="yellow"/>
          <w:lang w:eastAsia="en-CA"/>
        </w:rPr>
        <w:t>the</w:t>
      </w:r>
      <w:proofErr w:type="gramEnd"/>
      <w:r w:rsidRPr="00BE59F6">
        <w:rPr>
          <w:rFonts w:ascii="Verdana" w:hAnsi="Verdana"/>
          <w:color w:val="000000"/>
          <w:sz w:val="18"/>
          <w:szCs w:val="18"/>
          <w:highlight w:val="yellow"/>
          <w:lang w:eastAsia="en-CA"/>
        </w:rPr>
        <w:t xml:space="preserve"> timber supply analysis and forest management assumptions that apply to the area covered by the plan on the date that the plan is submitted for approval</w:t>
      </w:r>
      <w:r w:rsidRPr="00526EFF">
        <w:rPr>
          <w:rFonts w:ascii="Verdana" w:hAnsi="Verdana"/>
          <w:color w:val="000000"/>
          <w:sz w:val="18"/>
          <w:szCs w:val="18"/>
          <w:lang w:eastAsia="en-CA"/>
        </w:rPr>
        <w:t xml:space="preserve">. </w:t>
      </w:r>
    </w:p>
    <w:p w:rsidR="004A4970" w:rsidRPr="00526EFF" w:rsidRDefault="004A4970" w:rsidP="004A4970">
      <w:pPr>
        <w:spacing w:before="144" w:line="360" w:lineRule="atLeast"/>
        <w:ind w:left="1392"/>
        <w:rPr>
          <w:rFonts w:ascii="Verdana" w:hAnsi="Verdana"/>
          <w:color w:val="000000"/>
          <w:sz w:val="18"/>
          <w:szCs w:val="18"/>
          <w:lang w:eastAsia="en-CA"/>
        </w:rPr>
      </w:pPr>
      <w:r w:rsidRPr="00526EFF">
        <w:rPr>
          <w:rFonts w:ascii="Verdana" w:hAnsi="Verdana"/>
          <w:color w:val="000000"/>
          <w:sz w:val="18"/>
          <w:szCs w:val="18"/>
          <w:lang w:eastAsia="en-CA"/>
        </w:rPr>
        <w:t xml:space="preserve">(5)  The minister may approve the stocking standards referred to in section 16 (3) or (4), even though they do not conform to subsection (3) or (4) of this section, if the minister is satisfied that the regeneration date and stocking standards are reasonable, having regard to the future timber supply for the area. </w:t>
      </w:r>
    </w:p>
    <w:p w:rsidR="00BE59F6" w:rsidRDefault="00BE59F6">
      <w:pPr>
        <w:rPr>
          <w:rFonts w:ascii="Verdana" w:hAnsi="Verdana"/>
          <w:color w:val="000000"/>
          <w:sz w:val="24"/>
          <w:szCs w:val="24"/>
          <w:lang w:eastAsia="en-CA"/>
        </w:rPr>
      </w:pPr>
      <w:r w:rsidRPr="00856008">
        <w:rPr>
          <w:rFonts w:ascii="Verdana" w:hAnsi="Verdana"/>
          <w:sz w:val="24"/>
          <w:szCs w:val="24"/>
        </w:rPr>
        <w:lastRenderedPageBreak/>
        <w:t xml:space="preserve">So what </w:t>
      </w:r>
      <w:proofErr w:type="gramStart"/>
      <w:r w:rsidRPr="00856008">
        <w:rPr>
          <w:rFonts w:ascii="Verdana" w:hAnsi="Verdana"/>
          <w:sz w:val="24"/>
          <w:szCs w:val="24"/>
        </w:rPr>
        <w:t>does</w:t>
      </w:r>
      <w:r w:rsidRPr="004A2B5B">
        <w:rPr>
          <w:sz w:val="24"/>
          <w:szCs w:val="24"/>
        </w:rPr>
        <w:t xml:space="preserve">  “</w:t>
      </w:r>
      <w:proofErr w:type="gramEnd"/>
      <w:r w:rsidRPr="004A2B5B">
        <w:rPr>
          <w:rFonts w:ascii="Verdana" w:hAnsi="Verdana"/>
          <w:color w:val="000000"/>
          <w:sz w:val="24"/>
          <w:szCs w:val="24"/>
          <w:lang w:eastAsia="en-CA"/>
        </w:rPr>
        <w:t xml:space="preserve">(ii)  </w:t>
      </w:r>
      <w:r w:rsidRPr="004A2B5B">
        <w:rPr>
          <w:rFonts w:ascii="Verdana" w:hAnsi="Verdana"/>
          <w:color w:val="000000"/>
          <w:sz w:val="24"/>
          <w:szCs w:val="24"/>
          <w:highlight w:val="yellow"/>
          <w:lang w:eastAsia="en-CA"/>
        </w:rPr>
        <w:t xml:space="preserve">is consistent with the timber supply analysis and forest management assumptions that apply to the area covered by the plan </w:t>
      </w:r>
      <w:r w:rsidRPr="004A2B5B">
        <w:rPr>
          <w:rFonts w:ascii="Verdana" w:hAnsi="Verdana"/>
          <w:color w:val="000000"/>
          <w:sz w:val="24"/>
          <w:szCs w:val="24"/>
          <w:lang w:eastAsia="en-CA"/>
        </w:rPr>
        <w:t xml:space="preserve">...” mean?   What </w:t>
      </w:r>
      <w:r w:rsidR="00856008">
        <w:rPr>
          <w:rFonts w:ascii="Verdana" w:hAnsi="Verdana"/>
          <w:color w:val="000000"/>
          <w:sz w:val="24"/>
          <w:szCs w:val="24"/>
          <w:lang w:eastAsia="en-CA"/>
        </w:rPr>
        <w:t xml:space="preserve">changes in stand density are forecast to occur post free-growing based on </w:t>
      </w:r>
      <w:r w:rsidR="004414FB">
        <w:rPr>
          <w:rFonts w:ascii="Verdana" w:hAnsi="Verdana"/>
          <w:color w:val="000000"/>
          <w:sz w:val="24"/>
          <w:szCs w:val="24"/>
          <w:lang w:eastAsia="en-CA"/>
        </w:rPr>
        <w:t xml:space="preserve">TASS/TIPSY, </w:t>
      </w:r>
      <w:r w:rsidR="00856008">
        <w:rPr>
          <w:rFonts w:ascii="Verdana" w:hAnsi="Verdana"/>
          <w:color w:val="000000"/>
          <w:sz w:val="24"/>
          <w:szCs w:val="24"/>
          <w:lang w:eastAsia="en-CA"/>
        </w:rPr>
        <w:t xml:space="preserve">the growth </w:t>
      </w:r>
      <w:r w:rsidRPr="004A2B5B">
        <w:rPr>
          <w:rFonts w:ascii="Verdana" w:hAnsi="Verdana"/>
          <w:color w:val="000000"/>
          <w:sz w:val="24"/>
          <w:szCs w:val="24"/>
          <w:lang w:eastAsia="en-CA"/>
        </w:rPr>
        <w:t xml:space="preserve">and yield model that </w:t>
      </w:r>
      <w:r w:rsidR="00856008">
        <w:rPr>
          <w:rFonts w:ascii="Verdana" w:hAnsi="Verdana"/>
          <w:color w:val="000000"/>
          <w:sz w:val="24"/>
          <w:szCs w:val="24"/>
          <w:lang w:eastAsia="en-CA"/>
        </w:rPr>
        <w:t xml:space="preserve">is used in </w:t>
      </w:r>
      <w:r w:rsidRPr="004A2B5B">
        <w:rPr>
          <w:rFonts w:ascii="Verdana" w:hAnsi="Verdana"/>
          <w:color w:val="000000"/>
          <w:sz w:val="24"/>
          <w:szCs w:val="24"/>
          <w:lang w:eastAsia="en-CA"/>
        </w:rPr>
        <w:t xml:space="preserve">most every timber supply </w:t>
      </w:r>
      <w:r w:rsidR="007044F5" w:rsidRPr="004A2B5B">
        <w:rPr>
          <w:rFonts w:ascii="Verdana" w:hAnsi="Verdana"/>
          <w:color w:val="000000"/>
          <w:sz w:val="24"/>
          <w:szCs w:val="24"/>
          <w:lang w:eastAsia="en-CA"/>
        </w:rPr>
        <w:t xml:space="preserve">analysis </w:t>
      </w:r>
      <w:r w:rsidRPr="004A2B5B">
        <w:rPr>
          <w:rFonts w:ascii="Verdana" w:hAnsi="Verdana"/>
          <w:color w:val="000000"/>
          <w:sz w:val="24"/>
          <w:szCs w:val="24"/>
          <w:lang w:eastAsia="en-CA"/>
        </w:rPr>
        <w:t>in the province</w:t>
      </w:r>
      <w:r w:rsidR="007044F5" w:rsidRPr="004A2B5B">
        <w:rPr>
          <w:rFonts w:ascii="Verdana" w:hAnsi="Verdana"/>
          <w:color w:val="000000"/>
          <w:sz w:val="24"/>
          <w:szCs w:val="24"/>
          <w:lang w:eastAsia="en-CA"/>
        </w:rPr>
        <w:t>?</w:t>
      </w:r>
      <w:r w:rsidR="00856008">
        <w:rPr>
          <w:rFonts w:ascii="Verdana" w:hAnsi="Verdana"/>
          <w:color w:val="000000"/>
          <w:sz w:val="24"/>
          <w:szCs w:val="24"/>
          <w:lang w:eastAsia="en-CA"/>
        </w:rPr>
        <w:t xml:space="preserve">  </w:t>
      </w:r>
    </w:p>
    <w:p w:rsidR="004414FB" w:rsidRPr="005D7273" w:rsidRDefault="00C22470" w:rsidP="005D7273">
      <w:pPr>
        <w:spacing w:after="0" w:line="240" w:lineRule="auto"/>
        <w:rPr>
          <w:rFonts w:ascii="Verdana" w:hAnsi="Verdana"/>
          <w:color w:val="000000"/>
          <w:sz w:val="24"/>
          <w:szCs w:val="24"/>
          <w:lang w:eastAsia="en-CA"/>
        </w:rPr>
      </w:pPr>
      <w:r w:rsidRPr="005D7273">
        <w:rPr>
          <w:rFonts w:ascii="Verdana" w:hAnsi="Verdana"/>
          <w:b/>
          <w:color w:val="000000"/>
          <w:sz w:val="24"/>
          <w:szCs w:val="24"/>
          <w:lang w:eastAsia="en-CA"/>
        </w:rPr>
        <w:t xml:space="preserve">Growth and Yield </w:t>
      </w:r>
      <w:r w:rsidR="00794E12" w:rsidRPr="005D7273">
        <w:rPr>
          <w:rFonts w:ascii="Verdana" w:hAnsi="Verdana"/>
          <w:b/>
          <w:color w:val="000000"/>
          <w:sz w:val="24"/>
          <w:szCs w:val="24"/>
          <w:lang w:eastAsia="en-CA"/>
        </w:rPr>
        <w:t>Assumptions</w:t>
      </w:r>
      <w:r w:rsidRPr="005D7273">
        <w:rPr>
          <w:rFonts w:ascii="Verdana" w:hAnsi="Verdana"/>
          <w:b/>
          <w:color w:val="000000"/>
          <w:sz w:val="24"/>
          <w:szCs w:val="24"/>
          <w:lang w:eastAsia="en-CA"/>
        </w:rPr>
        <w:t xml:space="preserve"> in Timber Supply Analyses</w:t>
      </w:r>
      <w:r w:rsidR="00794E12" w:rsidRPr="005D7273">
        <w:rPr>
          <w:rFonts w:ascii="Verdana" w:hAnsi="Verdana"/>
          <w:color w:val="000000"/>
          <w:sz w:val="24"/>
          <w:szCs w:val="24"/>
          <w:lang w:eastAsia="en-CA"/>
        </w:rPr>
        <w:t>:</w:t>
      </w:r>
    </w:p>
    <w:p w:rsidR="00AD157F" w:rsidRDefault="00E4086A" w:rsidP="00AD157F">
      <w:pPr>
        <w:rPr>
          <w:rFonts w:ascii="Verdana" w:hAnsi="Verdana"/>
          <w:sz w:val="24"/>
          <w:szCs w:val="24"/>
        </w:rPr>
      </w:pPr>
      <w:r w:rsidRPr="00E4086A">
        <w:rPr>
          <w:rFonts w:ascii="Verdana" w:hAnsi="Verdana"/>
          <w:sz w:val="24"/>
          <w:szCs w:val="24"/>
        </w:rPr>
        <w:t xml:space="preserve">TASS/TIPSY project mortality rates in managed stands to stabilize by age 15.  </w:t>
      </w:r>
      <w:r>
        <w:rPr>
          <w:rFonts w:ascii="Verdana" w:hAnsi="Verdana"/>
          <w:sz w:val="24"/>
          <w:szCs w:val="24"/>
        </w:rPr>
        <w:t>Well-spaced density is forecast to decline over the rotation but slowly after age 15.</w:t>
      </w:r>
      <w:r w:rsidR="008B17CC" w:rsidRPr="008B17CC">
        <w:t xml:space="preserve"> </w:t>
      </w:r>
      <w:r w:rsidR="008B17CC" w:rsidRPr="008B17CC">
        <w:rPr>
          <w:rFonts w:ascii="Verdana" w:hAnsi="Verdana"/>
          <w:sz w:val="24"/>
          <w:szCs w:val="24"/>
        </w:rPr>
        <w:t>To be consistent with TSR assumptions managed stands at age 25-30 should still have close to the same WS density as they had at free-growing because TSR assumptions are based on TIPSY.</w:t>
      </w:r>
      <w:r w:rsidR="0013592B" w:rsidRPr="00BE59F6">
        <w:rPr>
          <w:noProof/>
          <w:lang w:eastAsia="en-CA"/>
        </w:rPr>
        <w:drawing>
          <wp:inline distT="0" distB="0" distL="0" distR="0">
            <wp:extent cx="5686425" cy="3608183"/>
            <wp:effectExtent l="19050" t="0" r="9525"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5686425" cy="3608183"/>
                    </a:xfrm>
                    <a:prstGeom prst="rect">
                      <a:avLst/>
                    </a:prstGeom>
                    <a:noFill/>
                    <a:ln w="9525">
                      <a:noFill/>
                      <a:miter lim="800000"/>
                      <a:headEnd/>
                      <a:tailEnd/>
                    </a:ln>
                  </pic:spPr>
                </pic:pic>
              </a:graphicData>
            </a:graphic>
          </wp:inline>
        </w:drawing>
      </w:r>
      <w:r w:rsidR="00AD157F" w:rsidRPr="00AD157F">
        <w:rPr>
          <w:rFonts w:ascii="Verdana" w:hAnsi="Verdana"/>
          <w:sz w:val="24"/>
          <w:szCs w:val="24"/>
        </w:rPr>
        <w:t xml:space="preserve"> </w:t>
      </w:r>
      <w:r w:rsidR="00AD157F" w:rsidRPr="004278EE">
        <w:rPr>
          <w:rFonts w:ascii="Verdana" w:hAnsi="Verdana"/>
          <w:sz w:val="24"/>
          <w:szCs w:val="24"/>
        </w:rPr>
        <w:t xml:space="preserve">The fundamental principles </w:t>
      </w:r>
      <w:r w:rsidR="00AD157F">
        <w:rPr>
          <w:rFonts w:ascii="Verdana" w:hAnsi="Verdana"/>
          <w:sz w:val="24"/>
          <w:szCs w:val="24"/>
        </w:rPr>
        <w:t xml:space="preserve">of growth and yield </w:t>
      </w:r>
      <w:r w:rsidR="00AD157F" w:rsidRPr="004278EE">
        <w:rPr>
          <w:rFonts w:ascii="Verdana" w:hAnsi="Verdana"/>
          <w:sz w:val="24"/>
          <w:szCs w:val="24"/>
        </w:rPr>
        <w:t>assume that forest disturbances which attack larger crop trees, particularly mid-r</w:t>
      </w:r>
      <w:r w:rsidR="00AD157F">
        <w:rPr>
          <w:rFonts w:ascii="Verdana" w:hAnsi="Verdana"/>
          <w:sz w:val="24"/>
          <w:szCs w:val="24"/>
        </w:rPr>
        <w:t xml:space="preserve">otation, are rare exceptions. </w:t>
      </w:r>
      <w:r w:rsidR="00AD157F" w:rsidRPr="005D7273">
        <w:rPr>
          <w:rFonts w:ascii="Verdana" w:hAnsi="Verdana"/>
          <w:sz w:val="24"/>
          <w:szCs w:val="24"/>
        </w:rPr>
        <w:t>TIPSY assumes stable densities after age 15.  Minimum densities are set for stands at free-growing which typically occurs at age 15 or earlier.</w:t>
      </w:r>
      <w:r w:rsidR="00AD157F" w:rsidRPr="004278EE">
        <w:rPr>
          <w:rFonts w:ascii="Verdana" w:hAnsi="Verdana"/>
          <w:sz w:val="24"/>
          <w:szCs w:val="24"/>
        </w:rPr>
        <w:t xml:space="preserve">  </w:t>
      </w:r>
    </w:p>
    <w:p w:rsidR="00707651" w:rsidRDefault="00707651" w:rsidP="004414FB">
      <w:pPr>
        <w:rPr>
          <w:rFonts w:ascii="Verdana" w:hAnsi="Verdana"/>
          <w:sz w:val="24"/>
          <w:szCs w:val="24"/>
        </w:rPr>
      </w:pPr>
    </w:p>
    <w:p w:rsidR="00707651" w:rsidRDefault="00707651" w:rsidP="004414FB">
      <w:pPr>
        <w:rPr>
          <w:rFonts w:ascii="Verdana" w:hAnsi="Verdana"/>
          <w:sz w:val="24"/>
          <w:szCs w:val="24"/>
        </w:rPr>
      </w:pPr>
    </w:p>
    <w:p w:rsidR="00707651" w:rsidRDefault="00707651" w:rsidP="004414FB">
      <w:pPr>
        <w:rPr>
          <w:rFonts w:ascii="Verdana" w:hAnsi="Verdana"/>
          <w:sz w:val="24"/>
          <w:szCs w:val="24"/>
        </w:rPr>
      </w:pPr>
    </w:p>
    <w:p w:rsidR="00707651" w:rsidRPr="00707651" w:rsidRDefault="00707651" w:rsidP="00707651">
      <w:pPr>
        <w:spacing w:after="0" w:line="240" w:lineRule="auto"/>
        <w:rPr>
          <w:rFonts w:ascii="Verdana" w:hAnsi="Verdana"/>
          <w:b/>
          <w:sz w:val="24"/>
          <w:szCs w:val="24"/>
        </w:rPr>
      </w:pPr>
      <w:proofErr w:type="spellStart"/>
      <w:r w:rsidRPr="00707651">
        <w:rPr>
          <w:rFonts w:ascii="Verdana" w:hAnsi="Verdana"/>
          <w:b/>
          <w:sz w:val="24"/>
          <w:szCs w:val="24"/>
        </w:rPr>
        <w:t>Langsaeters</w:t>
      </w:r>
      <w:proofErr w:type="spellEnd"/>
      <w:r w:rsidRPr="00707651">
        <w:rPr>
          <w:rFonts w:ascii="Verdana" w:hAnsi="Verdana"/>
          <w:b/>
          <w:sz w:val="24"/>
          <w:szCs w:val="24"/>
        </w:rPr>
        <w:t xml:space="preserve"> relation and the Thinning Response Hypothesis</w:t>
      </w:r>
    </w:p>
    <w:p w:rsidR="00794E12" w:rsidRPr="004414FB" w:rsidRDefault="00707651" w:rsidP="004414FB">
      <w:pPr>
        <w:rPr>
          <w:rFonts w:ascii="Verdana" w:hAnsi="Verdana"/>
          <w:sz w:val="24"/>
          <w:szCs w:val="24"/>
        </w:rPr>
      </w:pPr>
      <w:r>
        <w:rPr>
          <w:rFonts w:ascii="Verdana" w:hAnsi="Verdana"/>
          <w:noProof/>
          <w:sz w:val="24"/>
          <w:szCs w:val="24"/>
          <w:lang w:eastAsia="en-CA"/>
        </w:rPr>
        <w:drawing>
          <wp:anchor distT="0" distB="0" distL="114300" distR="114300" simplePos="0" relativeHeight="251658240" behindDoc="0" locked="0" layoutInCell="1" allowOverlap="1">
            <wp:simplePos x="0" y="0"/>
            <wp:positionH relativeFrom="column">
              <wp:posOffset>914400</wp:posOffset>
            </wp:positionH>
            <wp:positionV relativeFrom="paragraph">
              <wp:posOffset>2014855</wp:posOffset>
            </wp:positionV>
            <wp:extent cx="4181475" cy="4352925"/>
            <wp:effectExtent l="19050" t="0" r="9525" b="0"/>
            <wp:wrapNone/>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4181475" cy="4352925"/>
                    </a:xfrm>
                    <a:prstGeom prst="rect">
                      <a:avLst/>
                    </a:prstGeom>
                    <a:noFill/>
                  </pic:spPr>
                </pic:pic>
              </a:graphicData>
            </a:graphic>
          </wp:anchor>
        </w:drawing>
      </w:r>
      <w:r w:rsidR="00794E12" w:rsidRPr="004414FB">
        <w:rPr>
          <w:rFonts w:ascii="Verdana" w:hAnsi="Verdana"/>
          <w:sz w:val="24"/>
          <w:szCs w:val="24"/>
        </w:rPr>
        <w:t xml:space="preserve">The thinning response hypothesis states that managed stand yields can be increased through stand density management.  By concentrating the growth potential of a site on a limited number of stems the piece size and merchantable yield can be increased.  </w:t>
      </w:r>
      <w:proofErr w:type="spellStart"/>
      <w:r w:rsidR="00794E12" w:rsidRPr="004414FB">
        <w:rPr>
          <w:rFonts w:ascii="Verdana" w:hAnsi="Verdana"/>
          <w:sz w:val="24"/>
          <w:szCs w:val="24"/>
        </w:rPr>
        <w:t>Langsaeter’s</w:t>
      </w:r>
      <w:proofErr w:type="spellEnd"/>
      <w:r w:rsidR="00794E12" w:rsidRPr="004414FB">
        <w:rPr>
          <w:rFonts w:ascii="Verdana" w:hAnsi="Verdana"/>
          <w:sz w:val="24"/>
          <w:szCs w:val="24"/>
        </w:rPr>
        <w:t xml:space="preserve"> relation is a basic tenet of the thinning response hypothesis which states that there is a minimum managed stand density above which projected harvest yields are stable and below which timber volume sharply declines.  The closer one manages to this minimum density the lower the per hectare costs incurred for activities such as planting and stand tending, and the larger the trees grow.  </w:t>
      </w:r>
    </w:p>
    <w:p w:rsidR="005D7273" w:rsidRDefault="005D7273" w:rsidP="00794E12">
      <w:pPr>
        <w:rPr>
          <w:rFonts w:ascii="Verdana" w:hAnsi="Verdana"/>
          <w:sz w:val="24"/>
          <w:szCs w:val="24"/>
        </w:rPr>
      </w:pPr>
    </w:p>
    <w:p w:rsidR="005D7273" w:rsidRDefault="005D7273" w:rsidP="00794E12">
      <w:pPr>
        <w:rPr>
          <w:rFonts w:ascii="Verdana" w:hAnsi="Verdana"/>
          <w:sz w:val="24"/>
          <w:szCs w:val="24"/>
        </w:rPr>
      </w:pPr>
    </w:p>
    <w:p w:rsidR="005D7273" w:rsidRDefault="005D7273" w:rsidP="00794E12">
      <w:pPr>
        <w:rPr>
          <w:rFonts w:ascii="Verdana" w:hAnsi="Verdana"/>
          <w:sz w:val="24"/>
          <w:szCs w:val="24"/>
        </w:rPr>
      </w:pPr>
    </w:p>
    <w:p w:rsidR="005D7273" w:rsidRDefault="005D7273" w:rsidP="00794E12">
      <w:pPr>
        <w:rPr>
          <w:rFonts w:ascii="Verdana" w:hAnsi="Verdana"/>
          <w:sz w:val="24"/>
          <w:szCs w:val="24"/>
        </w:rPr>
      </w:pPr>
    </w:p>
    <w:p w:rsidR="005D7273" w:rsidRDefault="005D7273" w:rsidP="00794E12">
      <w:pPr>
        <w:rPr>
          <w:rFonts w:ascii="Verdana" w:hAnsi="Verdana"/>
          <w:sz w:val="24"/>
          <w:szCs w:val="24"/>
        </w:rPr>
      </w:pPr>
    </w:p>
    <w:p w:rsidR="005D7273" w:rsidRDefault="005D7273" w:rsidP="00794E12">
      <w:pPr>
        <w:rPr>
          <w:rFonts w:ascii="Verdana" w:hAnsi="Verdana"/>
          <w:sz w:val="24"/>
          <w:szCs w:val="24"/>
        </w:rPr>
      </w:pPr>
    </w:p>
    <w:p w:rsidR="005D7273" w:rsidRDefault="005D7273" w:rsidP="00794E12">
      <w:pPr>
        <w:rPr>
          <w:rFonts w:ascii="Verdana" w:hAnsi="Verdana"/>
          <w:sz w:val="24"/>
          <w:szCs w:val="24"/>
        </w:rPr>
      </w:pPr>
    </w:p>
    <w:p w:rsidR="005D7273" w:rsidRDefault="005D7273" w:rsidP="00794E12">
      <w:pPr>
        <w:rPr>
          <w:rFonts w:ascii="Verdana" w:hAnsi="Verdana"/>
          <w:sz w:val="24"/>
          <w:szCs w:val="24"/>
        </w:rPr>
      </w:pPr>
    </w:p>
    <w:p w:rsidR="005D7273" w:rsidRDefault="005D7273" w:rsidP="00794E12">
      <w:pPr>
        <w:rPr>
          <w:rFonts w:ascii="Verdana" w:hAnsi="Verdana"/>
          <w:sz w:val="24"/>
          <w:szCs w:val="24"/>
        </w:rPr>
      </w:pPr>
    </w:p>
    <w:p w:rsidR="005D7273" w:rsidRDefault="005D7273" w:rsidP="00794E12">
      <w:pPr>
        <w:rPr>
          <w:rFonts w:ascii="Verdana" w:hAnsi="Verdana"/>
          <w:sz w:val="24"/>
          <w:szCs w:val="24"/>
        </w:rPr>
      </w:pPr>
    </w:p>
    <w:p w:rsidR="005D7273" w:rsidRDefault="005D7273" w:rsidP="00794E12">
      <w:pPr>
        <w:rPr>
          <w:rFonts w:ascii="Verdana" w:hAnsi="Verdana"/>
          <w:sz w:val="24"/>
          <w:szCs w:val="24"/>
        </w:rPr>
      </w:pPr>
    </w:p>
    <w:p w:rsidR="005D7273" w:rsidRDefault="005D7273" w:rsidP="00794E12">
      <w:pPr>
        <w:rPr>
          <w:rFonts w:ascii="Verdana" w:hAnsi="Verdana"/>
          <w:sz w:val="24"/>
          <w:szCs w:val="24"/>
        </w:rPr>
      </w:pPr>
    </w:p>
    <w:p w:rsidR="005D7273" w:rsidRDefault="005D7273" w:rsidP="00794E12">
      <w:pPr>
        <w:rPr>
          <w:rFonts w:ascii="Verdana" w:hAnsi="Verdana"/>
          <w:sz w:val="24"/>
          <w:szCs w:val="24"/>
        </w:rPr>
      </w:pPr>
    </w:p>
    <w:p w:rsidR="00D55626" w:rsidRDefault="005D7273" w:rsidP="005D7273">
      <w:pPr>
        <w:rPr>
          <w:rFonts w:ascii="Verdana" w:hAnsi="Verdana"/>
          <w:sz w:val="24"/>
          <w:szCs w:val="24"/>
        </w:rPr>
      </w:pPr>
      <w:r>
        <w:rPr>
          <w:rFonts w:ascii="Verdana" w:hAnsi="Verdana"/>
          <w:sz w:val="24"/>
          <w:szCs w:val="24"/>
        </w:rPr>
        <w:t xml:space="preserve">TIPSY forecasts maximum potential volume at about 1600 </w:t>
      </w:r>
      <w:proofErr w:type="spellStart"/>
      <w:r>
        <w:rPr>
          <w:rFonts w:ascii="Verdana" w:hAnsi="Verdana"/>
          <w:sz w:val="24"/>
          <w:szCs w:val="24"/>
        </w:rPr>
        <w:t>wsph</w:t>
      </w:r>
      <w:proofErr w:type="spellEnd"/>
      <w:r>
        <w:rPr>
          <w:rFonts w:ascii="Verdana" w:hAnsi="Verdana"/>
          <w:sz w:val="24"/>
          <w:szCs w:val="24"/>
        </w:rPr>
        <w:t xml:space="preserve"> and forecasts a 30% decline in volume when well-spaced density drops from 1600 to 700 (Martin et al 2005). To be consistent with TSR assumptions and to avoid the decline in forecast volume associated with </w:t>
      </w:r>
      <w:proofErr w:type="spellStart"/>
      <w:r>
        <w:rPr>
          <w:rFonts w:ascii="Verdana" w:hAnsi="Verdana"/>
          <w:sz w:val="24"/>
          <w:szCs w:val="24"/>
        </w:rPr>
        <w:t>Langsaeters</w:t>
      </w:r>
      <w:proofErr w:type="spellEnd"/>
      <w:r>
        <w:rPr>
          <w:rFonts w:ascii="Verdana" w:hAnsi="Verdana"/>
          <w:sz w:val="24"/>
          <w:szCs w:val="24"/>
        </w:rPr>
        <w:t xml:space="preserve"> relation minimum densities should be closer to 1000 </w:t>
      </w:r>
      <w:proofErr w:type="spellStart"/>
      <w:r>
        <w:rPr>
          <w:rFonts w:ascii="Verdana" w:hAnsi="Verdana"/>
          <w:sz w:val="24"/>
          <w:szCs w:val="24"/>
        </w:rPr>
        <w:t>wsph</w:t>
      </w:r>
      <w:proofErr w:type="spellEnd"/>
      <w:r>
        <w:rPr>
          <w:rFonts w:ascii="Verdana" w:hAnsi="Verdana"/>
          <w:sz w:val="24"/>
          <w:szCs w:val="24"/>
        </w:rPr>
        <w:t>.</w:t>
      </w:r>
    </w:p>
    <w:p w:rsidR="00D55626" w:rsidRDefault="00D55626">
      <w:pPr>
        <w:rPr>
          <w:rFonts w:ascii="Verdana" w:hAnsi="Verdana"/>
          <w:sz w:val="24"/>
          <w:szCs w:val="24"/>
        </w:rPr>
      </w:pPr>
      <w:r>
        <w:rPr>
          <w:rFonts w:ascii="Verdana" w:hAnsi="Verdana"/>
          <w:sz w:val="24"/>
          <w:szCs w:val="24"/>
        </w:rPr>
        <w:br w:type="page"/>
      </w:r>
    </w:p>
    <w:p w:rsidR="008F4E89" w:rsidRDefault="00650E4C" w:rsidP="003127C9">
      <w:pPr>
        <w:rPr>
          <w:rFonts w:ascii="Verdana" w:hAnsi="Verdana"/>
          <w:b/>
          <w:sz w:val="24"/>
          <w:szCs w:val="24"/>
        </w:rPr>
      </w:pPr>
      <w:r w:rsidRPr="0025447B">
        <w:rPr>
          <w:rFonts w:ascii="Verdana" w:hAnsi="Verdana"/>
          <w:b/>
          <w:sz w:val="24"/>
          <w:szCs w:val="24"/>
        </w:rPr>
        <w:t xml:space="preserve">Post-free-growing </w:t>
      </w:r>
      <w:r w:rsidR="00D55626">
        <w:rPr>
          <w:rFonts w:ascii="Verdana" w:hAnsi="Verdana"/>
          <w:b/>
          <w:sz w:val="24"/>
          <w:szCs w:val="24"/>
        </w:rPr>
        <w:t>d</w:t>
      </w:r>
      <w:r w:rsidRPr="0025447B">
        <w:rPr>
          <w:rFonts w:ascii="Verdana" w:hAnsi="Verdana"/>
          <w:b/>
          <w:sz w:val="24"/>
          <w:szCs w:val="24"/>
        </w:rPr>
        <w:t>ensities:</w:t>
      </w:r>
    </w:p>
    <w:p w:rsidR="008F4E89" w:rsidRPr="00B317FF" w:rsidRDefault="008F4E89" w:rsidP="008F4E89">
      <w:pPr>
        <w:rPr>
          <w:rFonts w:ascii="Arial" w:hAnsi="Arial" w:cs="Arial"/>
          <w:sz w:val="20"/>
          <w:szCs w:val="20"/>
        </w:rPr>
      </w:pPr>
      <w:r w:rsidRPr="002B5ED7">
        <w:rPr>
          <w:rFonts w:ascii="Verdana" w:hAnsi="Verdana"/>
          <w:sz w:val="24"/>
          <w:szCs w:val="24"/>
        </w:rPr>
        <w:t>Managed stand densities are stable in some TSAs but in most of those assessed to date the WS density has declined by close to 20%</w:t>
      </w:r>
      <w:r>
        <w:rPr>
          <w:rFonts w:ascii="Verdana" w:hAnsi="Verdana"/>
          <w:sz w:val="24"/>
          <w:szCs w:val="24"/>
        </w:rPr>
        <w:t xml:space="preserve"> (Woods et al 2011)</w:t>
      </w:r>
      <w:r w:rsidRPr="002B5ED7">
        <w:rPr>
          <w:rFonts w:ascii="Verdana" w:hAnsi="Verdana"/>
          <w:sz w:val="24"/>
          <w:szCs w:val="24"/>
        </w:rPr>
        <w:t xml:space="preserve">.  In the Lakes TSA of the Nadina District assessments conducted by District staff show a decline of approximately 200 </w:t>
      </w:r>
      <w:proofErr w:type="spellStart"/>
      <w:r w:rsidRPr="002B5ED7">
        <w:rPr>
          <w:rFonts w:ascii="Verdana" w:hAnsi="Verdana"/>
          <w:sz w:val="24"/>
          <w:szCs w:val="24"/>
        </w:rPr>
        <w:t>sph</w:t>
      </w:r>
      <w:proofErr w:type="spellEnd"/>
      <w:r w:rsidRPr="002B5ED7">
        <w:rPr>
          <w:rFonts w:ascii="Verdana" w:hAnsi="Verdana"/>
          <w:sz w:val="24"/>
          <w:szCs w:val="24"/>
        </w:rPr>
        <w:t xml:space="preserve">, from close to 1100 </w:t>
      </w:r>
      <w:proofErr w:type="spellStart"/>
      <w:r w:rsidRPr="002B5ED7">
        <w:rPr>
          <w:rFonts w:ascii="Verdana" w:hAnsi="Verdana"/>
          <w:sz w:val="24"/>
          <w:szCs w:val="24"/>
        </w:rPr>
        <w:t>wsph</w:t>
      </w:r>
      <w:proofErr w:type="spellEnd"/>
      <w:r w:rsidRPr="002B5ED7">
        <w:rPr>
          <w:rFonts w:ascii="Verdana" w:hAnsi="Verdana"/>
          <w:sz w:val="24"/>
          <w:szCs w:val="24"/>
        </w:rPr>
        <w:t xml:space="preserve"> to less than 900. </w:t>
      </w:r>
      <w:r>
        <w:rPr>
          <w:rFonts w:ascii="Verdana" w:hAnsi="Verdana"/>
          <w:sz w:val="24"/>
          <w:szCs w:val="24"/>
        </w:rPr>
        <w:t xml:space="preserve"> Stands with 1100 </w:t>
      </w:r>
      <w:proofErr w:type="spellStart"/>
      <w:r>
        <w:rPr>
          <w:rFonts w:ascii="Verdana" w:hAnsi="Verdana"/>
          <w:sz w:val="24"/>
          <w:szCs w:val="24"/>
        </w:rPr>
        <w:t>wsph</w:t>
      </w:r>
      <w:proofErr w:type="spellEnd"/>
      <w:r>
        <w:rPr>
          <w:rFonts w:ascii="Verdana" w:hAnsi="Verdana"/>
          <w:sz w:val="24"/>
          <w:szCs w:val="24"/>
        </w:rPr>
        <w:t xml:space="preserve"> at age 15 should not drop to 900 </w:t>
      </w:r>
      <w:proofErr w:type="spellStart"/>
      <w:r>
        <w:rPr>
          <w:rFonts w:ascii="Verdana" w:hAnsi="Verdana"/>
          <w:sz w:val="24"/>
          <w:szCs w:val="24"/>
        </w:rPr>
        <w:t>wsph</w:t>
      </w:r>
      <w:proofErr w:type="spellEnd"/>
      <w:r>
        <w:rPr>
          <w:rFonts w:ascii="Verdana" w:hAnsi="Verdana"/>
          <w:sz w:val="24"/>
          <w:szCs w:val="24"/>
        </w:rPr>
        <w:t xml:space="preserve"> until age 90 according to TIPSY.</w:t>
      </w:r>
      <w:r>
        <w:rPr>
          <w:rFonts w:ascii="Arial" w:hAnsi="Arial" w:cs="Arial"/>
          <w:b/>
          <w:sz w:val="20"/>
          <w:szCs w:val="20"/>
        </w:rPr>
        <w:t xml:space="preserve"> </w:t>
      </w:r>
    </w:p>
    <w:tbl>
      <w:tblPr>
        <w:tblpPr w:leftFromText="180" w:rightFromText="180" w:vertAnchor="text" w:horzAnchor="margin" w:tblpY="185"/>
        <w:tblW w:w="0" w:type="auto"/>
        <w:tblLayout w:type="fixed"/>
        <w:tblCellMar>
          <w:left w:w="60" w:type="dxa"/>
          <w:right w:w="60" w:type="dxa"/>
        </w:tblCellMar>
        <w:tblLook w:val="0000"/>
      </w:tblPr>
      <w:tblGrid>
        <w:gridCol w:w="2825"/>
        <w:gridCol w:w="818"/>
        <w:gridCol w:w="817"/>
        <w:gridCol w:w="955"/>
        <w:gridCol w:w="682"/>
        <w:gridCol w:w="818"/>
        <w:gridCol w:w="818"/>
        <w:gridCol w:w="972"/>
      </w:tblGrid>
      <w:tr w:rsidR="008F4E89" w:rsidRPr="005B5E3A" w:rsidTr="008F4E89">
        <w:trPr>
          <w:cantSplit/>
          <w:trHeight w:val="174"/>
          <w:tblHeader/>
        </w:trPr>
        <w:tc>
          <w:tcPr>
            <w:tcW w:w="2825" w:type="dxa"/>
            <w:vMerge w:val="restart"/>
            <w:tcBorders>
              <w:top w:val="single" w:sz="6" w:space="0" w:color="000000"/>
              <w:left w:val="single" w:sz="6" w:space="0" w:color="000000"/>
              <w:bottom w:val="single" w:sz="2" w:space="0" w:color="000000"/>
              <w:right w:val="nil"/>
            </w:tcBorders>
            <w:shd w:val="clear" w:color="auto" w:fill="BBBBBB"/>
            <w:vAlign w:val="center"/>
          </w:tcPr>
          <w:p w:rsidR="008F4E89" w:rsidRPr="000D05A5" w:rsidRDefault="008F4E89" w:rsidP="008F4E89">
            <w:pPr>
              <w:keepNext/>
              <w:adjustRightInd w:val="0"/>
              <w:spacing w:before="60" w:after="60"/>
              <w:ind w:firstLine="142"/>
              <w:jc w:val="center"/>
              <w:rPr>
                <w:rFonts w:eastAsia="Calibri"/>
                <w:bCs/>
                <w:color w:val="000000"/>
              </w:rPr>
            </w:pPr>
          </w:p>
        </w:tc>
        <w:tc>
          <w:tcPr>
            <w:tcW w:w="4908" w:type="dxa"/>
            <w:gridSpan w:val="6"/>
            <w:tcBorders>
              <w:top w:val="single" w:sz="6" w:space="0" w:color="000000"/>
              <w:left w:val="single" w:sz="2" w:space="0" w:color="000000"/>
              <w:bottom w:val="single" w:sz="2" w:space="0" w:color="000000"/>
              <w:right w:val="nil"/>
            </w:tcBorders>
            <w:shd w:val="clear" w:color="auto" w:fill="BBBBBB"/>
            <w:vAlign w:val="bottom"/>
          </w:tcPr>
          <w:p w:rsidR="008F4E89" w:rsidRPr="005B5E3A" w:rsidRDefault="008F4E89" w:rsidP="008F4E89">
            <w:pPr>
              <w:keepNext/>
              <w:adjustRightInd w:val="0"/>
              <w:spacing w:before="60" w:after="60"/>
              <w:ind w:left="-142"/>
              <w:jc w:val="center"/>
              <w:rPr>
                <w:rFonts w:eastAsia="Calibri"/>
                <w:b/>
                <w:bCs/>
                <w:color w:val="000000"/>
              </w:rPr>
            </w:pPr>
            <w:r>
              <w:rPr>
                <w:rFonts w:eastAsia="Calibri"/>
                <w:b/>
                <w:bCs/>
                <w:color w:val="000000"/>
              </w:rPr>
              <w:t>Biogeoclimatic z</w:t>
            </w:r>
            <w:r w:rsidRPr="005B5E3A">
              <w:rPr>
                <w:rFonts w:eastAsia="Calibri"/>
                <w:b/>
                <w:bCs/>
                <w:color w:val="000000"/>
              </w:rPr>
              <w:t>one</w:t>
            </w:r>
          </w:p>
        </w:tc>
        <w:tc>
          <w:tcPr>
            <w:tcW w:w="972" w:type="dxa"/>
            <w:vMerge w:val="restart"/>
            <w:tcBorders>
              <w:top w:val="single" w:sz="6" w:space="0" w:color="000000"/>
              <w:left w:val="single" w:sz="2" w:space="0" w:color="000000"/>
              <w:bottom w:val="single" w:sz="2" w:space="0" w:color="000000"/>
              <w:right w:val="single" w:sz="6" w:space="0" w:color="000000"/>
            </w:tcBorders>
            <w:shd w:val="clear" w:color="auto" w:fill="BBBBBB"/>
            <w:vAlign w:val="bottom"/>
          </w:tcPr>
          <w:p w:rsidR="008F4E89" w:rsidRPr="005B5E3A" w:rsidRDefault="008F4E89" w:rsidP="008F4E89">
            <w:pPr>
              <w:keepNext/>
              <w:adjustRightInd w:val="0"/>
              <w:spacing w:before="60" w:after="60"/>
              <w:ind w:left="-142"/>
              <w:jc w:val="center"/>
              <w:rPr>
                <w:rFonts w:eastAsia="Calibri"/>
                <w:b/>
                <w:bCs/>
                <w:color w:val="000000"/>
              </w:rPr>
            </w:pPr>
            <w:r w:rsidRPr="005B5E3A">
              <w:rPr>
                <w:rFonts w:eastAsia="Calibri"/>
                <w:b/>
                <w:bCs/>
                <w:color w:val="000000"/>
              </w:rPr>
              <w:t xml:space="preserve">Total or </w:t>
            </w:r>
            <w:r>
              <w:rPr>
                <w:rFonts w:eastAsia="Calibri"/>
                <w:b/>
                <w:bCs/>
                <w:color w:val="000000"/>
              </w:rPr>
              <w:t>m</w:t>
            </w:r>
            <w:r w:rsidRPr="005B5E3A">
              <w:rPr>
                <w:rFonts w:eastAsia="Calibri"/>
                <w:b/>
                <w:bCs/>
                <w:color w:val="000000"/>
              </w:rPr>
              <w:t>ean</w:t>
            </w:r>
          </w:p>
        </w:tc>
      </w:tr>
      <w:tr w:rsidR="008F4E89" w:rsidRPr="005B5E3A" w:rsidTr="008F4E89">
        <w:trPr>
          <w:cantSplit/>
          <w:trHeight w:val="60"/>
          <w:tblHeader/>
        </w:trPr>
        <w:tc>
          <w:tcPr>
            <w:tcW w:w="2825" w:type="dxa"/>
            <w:vMerge/>
            <w:tcBorders>
              <w:top w:val="single" w:sz="6" w:space="0" w:color="000000"/>
              <w:left w:val="single" w:sz="6" w:space="0" w:color="000000"/>
              <w:bottom w:val="single" w:sz="2" w:space="0" w:color="000000"/>
              <w:right w:val="nil"/>
            </w:tcBorders>
            <w:shd w:val="clear" w:color="auto" w:fill="BBBBBB"/>
            <w:vAlign w:val="center"/>
          </w:tcPr>
          <w:p w:rsidR="008F4E89" w:rsidRPr="000D05A5" w:rsidRDefault="008F4E89" w:rsidP="008F4E89">
            <w:pPr>
              <w:keepNext/>
              <w:adjustRightInd w:val="0"/>
              <w:ind w:firstLine="142"/>
              <w:jc w:val="center"/>
              <w:rPr>
                <w:rFonts w:eastAsia="Calibri"/>
              </w:rPr>
            </w:pPr>
          </w:p>
        </w:tc>
        <w:tc>
          <w:tcPr>
            <w:tcW w:w="818" w:type="dxa"/>
            <w:tcBorders>
              <w:top w:val="nil"/>
              <w:left w:val="single" w:sz="2" w:space="0" w:color="000000"/>
              <w:bottom w:val="single" w:sz="2" w:space="0" w:color="000000"/>
              <w:right w:val="nil"/>
            </w:tcBorders>
            <w:shd w:val="clear" w:color="auto" w:fill="BBBBBB"/>
            <w:vAlign w:val="bottom"/>
          </w:tcPr>
          <w:p w:rsidR="008F4E89" w:rsidRPr="005B5E3A" w:rsidRDefault="008F4E89" w:rsidP="008F4E89">
            <w:pPr>
              <w:keepNext/>
              <w:adjustRightInd w:val="0"/>
              <w:spacing w:before="60" w:after="60"/>
              <w:ind w:left="-142"/>
              <w:jc w:val="center"/>
              <w:rPr>
                <w:rFonts w:eastAsia="Calibri"/>
                <w:b/>
                <w:bCs/>
                <w:color w:val="000000"/>
              </w:rPr>
            </w:pPr>
            <w:r w:rsidRPr="005B5E3A">
              <w:rPr>
                <w:rFonts w:eastAsia="Calibri"/>
                <w:b/>
                <w:bCs/>
                <w:color w:val="000000"/>
              </w:rPr>
              <w:t>CWH</w:t>
            </w:r>
          </w:p>
        </w:tc>
        <w:tc>
          <w:tcPr>
            <w:tcW w:w="817" w:type="dxa"/>
            <w:tcBorders>
              <w:top w:val="nil"/>
              <w:left w:val="single" w:sz="2" w:space="0" w:color="000000"/>
              <w:bottom w:val="single" w:sz="2" w:space="0" w:color="000000"/>
              <w:right w:val="nil"/>
            </w:tcBorders>
            <w:shd w:val="clear" w:color="auto" w:fill="BBBBBB"/>
            <w:vAlign w:val="bottom"/>
          </w:tcPr>
          <w:p w:rsidR="008F4E89" w:rsidRPr="005B5E3A" w:rsidRDefault="008F4E89" w:rsidP="008F4E89">
            <w:pPr>
              <w:keepNext/>
              <w:adjustRightInd w:val="0"/>
              <w:spacing w:before="60" w:after="60"/>
              <w:ind w:left="-142"/>
              <w:jc w:val="center"/>
              <w:rPr>
                <w:rFonts w:eastAsia="Calibri"/>
                <w:b/>
                <w:bCs/>
                <w:color w:val="000000"/>
              </w:rPr>
            </w:pPr>
            <w:r w:rsidRPr="005B5E3A">
              <w:rPr>
                <w:rFonts w:eastAsia="Calibri"/>
                <w:b/>
                <w:bCs/>
                <w:color w:val="000000"/>
              </w:rPr>
              <w:t>ESSF</w:t>
            </w:r>
          </w:p>
        </w:tc>
        <w:tc>
          <w:tcPr>
            <w:tcW w:w="955" w:type="dxa"/>
            <w:tcBorders>
              <w:top w:val="nil"/>
              <w:left w:val="single" w:sz="2" w:space="0" w:color="000000"/>
              <w:bottom w:val="single" w:sz="2" w:space="0" w:color="000000"/>
              <w:right w:val="nil"/>
            </w:tcBorders>
            <w:shd w:val="clear" w:color="auto" w:fill="BBBBBB"/>
            <w:vAlign w:val="bottom"/>
          </w:tcPr>
          <w:p w:rsidR="008F4E89" w:rsidRPr="005B5E3A" w:rsidRDefault="008F4E89" w:rsidP="008F4E89">
            <w:pPr>
              <w:keepNext/>
              <w:adjustRightInd w:val="0"/>
              <w:spacing w:before="60" w:after="60"/>
              <w:ind w:left="-142"/>
              <w:jc w:val="center"/>
              <w:rPr>
                <w:rFonts w:eastAsia="Calibri"/>
                <w:b/>
                <w:bCs/>
                <w:color w:val="000000"/>
              </w:rPr>
            </w:pPr>
            <w:r w:rsidRPr="005B5E3A">
              <w:rPr>
                <w:rFonts w:eastAsia="Calibri"/>
                <w:b/>
                <w:bCs/>
                <w:color w:val="000000"/>
              </w:rPr>
              <w:t>ICH</w:t>
            </w:r>
          </w:p>
        </w:tc>
        <w:tc>
          <w:tcPr>
            <w:tcW w:w="682" w:type="dxa"/>
            <w:tcBorders>
              <w:top w:val="nil"/>
              <w:left w:val="single" w:sz="2" w:space="0" w:color="000000"/>
              <w:bottom w:val="single" w:sz="2" w:space="0" w:color="000000"/>
              <w:right w:val="nil"/>
            </w:tcBorders>
            <w:shd w:val="clear" w:color="auto" w:fill="BBBBBB"/>
            <w:vAlign w:val="bottom"/>
          </w:tcPr>
          <w:p w:rsidR="008F4E89" w:rsidRPr="005B5E3A" w:rsidRDefault="008F4E89" w:rsidP="008F4E89">
            <w:pPr>
              <w:keepNext/>
              <w:adjustRightInd w:val="0"/>
              <w:spacing w:before="60" w:after="60"/>
              <w:ind w:left="-142"/>
              <w:jc w:val="center"/>
              <w:rPr>
                <w:rFonts w:eastAsia="Calibri"/>
                <w:b/>
                <w:bCs/>
                <w:color w:val="000000"/>
              </w:rPr>
            </w:pPr>
            <w:r w:rsidRPr="005B5E3A">
              <w:rPr>
                <w:rFonts w:eastAsia="Calibri"/>
                <w:b/>
                <w:bCs/>
                <w:color w:val="000000"/>
              </w:rPr>
              <w:t>IDF</w:t>
            </w:r>
          </w:p>
        </w:tc>
        <w:tc>
          <w:tcPr>
            <w:tcW w:w="818" w:type="dxa"/>
            <w:tcBorders>
              <w:top w:val="nil"/>
              <w:left w:val="single" w:sz="2" w:space="0" w:color="000000"/>
              <w:bottom w:val="single" w:sz="2" w:space="0" w:color="000000"/>
              <w:right w:val="nil"/>
            </w:tcBorders>
            <w:shd w:val="clear" w:color="auto" w:fill="BBBBBB"/>
            <w:vAlign w:val="bottom"/>
          </w:tcPr>
          <w:p w:rsidR="008F4E89" w:rsidRPr="005B5E3A" w:rsidRDefault="008F4E89" w:rsidP="008F4E89">
            <w:pPr>
              <w:keepNext/>
              <w:adjustRightInd w:val="0"/>
              <w:spacing w:before="60" w:after="60"/>
              <w:ind w:left="-142"/>
              <w:jc w:val="center"/>
              <w:rPr>
                <w:rFonts w:eastAsia="Calibri"/>
                <w:b/>
                <w:bCs/>
                <w:color w:val="000000"/>
              </w:rPr>
            </w:pPr>
            <w:r w:rsidRPr="005B5E3A">
              <w:rPr>
                <w:rFonts w:eastAsia="Calibri"/>
                <w:b/>
                <w:bCs/>
                <w:color w:val="000000"/>
              </w:rPr>
              <w:t>MS</w:t>
            </w:r>
          </w:p>
        </w:tc>
        <w:tc>
          <w:tcPr>
            <w:tcW w:w="818" w:type="dxa"/>
            <w:tcBorders>
              <w:top w:val="nil"/>
              <w:left w:val="single" w:sz="2" w:space="0" w:color="000000"/>
              <w:bottom w:val="single" w:sz="2" w:space="0" w:color="000000"/>
              <w:right w:val="nil"/>
            </w:tcBorders>
            <w:shd w:val="clear" w:color="auto" w:fill="BBBBBB"/>
            <w:vAlign w:val="bottom"/>
          </w:tcPr>
          <w:p w:rsidR="008F4E89" w:rsidRPr="005B5E3A" w:rsidRDefault="008F4E89" w:rsidP="008F4E89">
            <w:pPr>
              <w:keepNext/>
              <w:adjustRightInd w:val="0"/>
              <w:spacing w:before="60" w:after="60"/>
              <w:ind w:left="-142"/>
              <w:jc w:val="center"/>
              <w:rPr>
                <w:rFonts w:eastAsia="Calibri"/>
                <w:b/>
                <w:bCs/>
                <w:color w:val="000000"/>
              </w:rPr>
            </w:pPr>
            <w:r w:rsidRPr="005B5E3A">
              <w:rPr>
                <w:rFonts w:eastAsia="Calibri"/>
                <w:b/>
                <w:bCs/>
                <w:color w:val="000000"/>
              </w:rPr>
              <w:t>SBS</w:t>
            </w:r>
          </w:p>
        </w:tc>
        <w:tc>
          <w:tcPr>
            <w:tcW w:w="972" w:type="dxa"/>
            <w:vMerge/>
            <w:tcBorders>
              <w:top w:val="single" w:sz="6" w:space="0" w:color="000000"/>
              <w:left w:val="single" w:sz="2" w:space="0" w:color="000000"/>
              <w:bottom w:val="single" w:sz="2" w:space="0" w:color="000000"/>
              <w:right w:val="single" w:sz="6" w:space="0" w:color="000000"/>
            </w:tcBorders>
            <w:shd w:val="clear" w:color="auto" w:fill="BBBBBB"/>
            <w:vAlign w:val="bottom"/>
          </w:tcPr>
          <w:p w:rsidR="008F4E89" w:rsidRPr="005B5E3A" w:rsidRDefault="008F4E89" w:rsidP="008F4E89">
            <w:pPr>
              <w:keepNext/>
              <w:adjustRightInd w:val="0"/>
              <w:ind w:left="-142"/>
              <w:jc w:val="center"/>
              <w:rPr>
                <w:rFonts w:eastAsia="Calibri"/>
              </w:rPr>
            </w:pPr>
          </w:p>
        </w:tc>
      </w:tr>
      <w:tr w:rsidR="008F4E89" w:rsidRPr="0082261A" w:rsidTr="008F4E89">
        <w:trPr>
          <w:cantSplit/>
          <w:trHeight w:val="138"/>
        </w:trPr>
        <w:tc>
          <w:tcPr>
            <w:tcW w:w="2825" w:type="dxa"/>
            <w:tcBorders>
              <w:top w:val="nil"/>
              <w:left w:val="single" w:sz="2" w:space="0" w:color="000000"/>
              <w:bottom w:val="single" w:sz="2" w:space="0" w:color="000000"/>
              <w:right w:val="nil"/>
            </w:tcBorders>
            <w:shd w:val="clear" w:color="auto" w:fill="BBBBBB"/>
            <w:vAlign w:val="center"/>
          </w:tcPr>
          <w:p w:rsidR="008F4E89" w:rsidRDefault="008F4E89" w:rsidP="008F4E89">
            <w:pPr>
              <w:adjustRightInd w:val="0"/>
              <w:spacing w:before="60" w:after="60"/>
              <w:ind w:firstLine="4"/>
              <w:rPr>
                <w:rFonts w:eastAsia="Calibri"/>
                <w:bCs/>
                <w:color w:val="000000"/>
                <w:sz w:val="20"/>
                <w:szCs w:val="20"/>
              </w:rPr>
            </w:pPr>
            <w:r w:rsidRPr="00F27B17">
              <w:rPr>
                <w:rFonts w:eastAsia="Calibri"/>
                <w:bCs/>
                <w:color w:val="000000"/>
                <w:sz w:val="20"/>
                <w:szCs w:val="20"/>
              </w:rPr>
              <w:t xml:space="preserve">Number of </w:t>
            </w:r>
            <w:r>
              <w:rPr>
                <w:rFonts w:eastAsia="Calibri"/>
                <w:bCs/>
                <w:color w:val="000000"/>
                <w:sz w:val="20"/>
                <w:szCs w:val="20"/>
              </w:rPr>
              <w:t>s</w:t>
            </w:r>
            <w:r w:rsidRPr="00F27B17">
              <w:rPr>
                <w:rFonts w:eastAsia="Calibri"/>
                <w:bCs/>
                <w:color w:val="000000"/>
                <w:sz w:val="20"/>
                <w:szCs w:val="20"/>
              </w:rPr>
              <w:t>tands</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adjustRightInd w:val="0"/>
              <w:spacing w:before="60" w:after="60"/>
              <w:ind w:left="-142"/>
              <w:jc w:val="center"/>
              <w:rPr>
                <w:rFonts w:eastAsia="Calibri"/>
                <w:color w:val="000000"/>
              </w:rPr>
            </w:pPr>
            <w:r w:rsidRPr="00F351D5">
              <w:rPr>
                <w:rFonts w:eastAsia="Calibri"/>
                <w:color w:val="000000"/>
              </w:rPr>
              <w:t>58</w:t>
            </w:r>
          </w:p>
        </w:tc>
        <w:tc>
          <w:tcPr>
            <w:tcW w:w="817" w:type="dxa"/>
            <w:tcBorders>
              <w:top w:val="nil"/>
              <w:left w:val="single" w:sz="2" w:space="0" w:color="000000"/>
              <w:bottom w:val="single" w:sz="2" w:space="0" w:color="000000"/>
              <w:right w:val="nil"/>
            </w:tcBorders>
            <w:vAlign w:val="bottom"/>
          </w:tcPr>
          <w:p w:rsidR="008F4E89" w:rsidRPr="00F351D5" w:rsidRDefault="008F4E89" w:rsidP="008F4E89">
            <w:pPr>
              <w:adjustRightInd w:val="0"/>
              <w:spacing w:before="60" w:after="60"/>
              <w:ind w:left="-142"/>
              <w:jc w:val="center"/>
              <w:rPr>
                <w:rFonts w:eastAsia="Calibri"/>
                <w:color w:val="000000"/>
              </w:rPr>
            </w:pPr>
            <w:r w:rsidRPr="00F351D5">
              <w:rPr>
                <w:rFonts w:eastAsia="Calibri"/>
                <w:color w:val="000000"/>
              </w:rPr>
              <w:t>44</w:t>
            </w:r>
          </w:p>
        </w:tc>
        <w:tc>
          <w:tcPr>
            <w:tcW w:w="955" w:type="dxa"/>
            <w:tcBorders>
              <w:top w:val="nil"/>
              <w:left w:val="single" w:sz="2" w:space="0" w:color="000000"/>
              <w:bottom w:val="single" w:sz="2" w:space="0" w:color="000000"/>
              <w:right w:val="nil"/>
            </w:tcBorders>
            <w:vAlign w:val="bottom"/>
          </w:tcPr>
          <w:p w:rsidR="008F4E89" w:rsidRPr="00F351D5" w:rsidRDefault="008F4E89" w:rsidP="008F4E89">
            <w:pPr>
              <w:adjustRightInd w:val="0"/>
              <w:spacing w:before="60" w:after="60"/>
              <w:ind w:left="-142"/>
              <w:jc w:val="center"/>
              <w:rPr>
                <w:rFonts w:eastAsia="Calibri"/>
                <w:color w:val="000000"/>
              </w:rPr>
            </w:pPr>
            <w:r w:rsidRPr="00F351D5">
              <w:rPr>
                <w:rFonts w:eastAsia="Calibri"/>
                <w:color w:val="000000"/>
              </w:rPr>
              <w:t>74</w:t>
            </w:r>
          </w:p>
        </w:tc>
        <w:tc>
          <w:tcPr>
            <w:tcW w:w="682" w:type="dxa"/>
            <w:tcBorders>
              <w:top w:val="nil"/>
              <w:left w:val="single" w:sz="2" w:space="0" w:color="000000"/>
              <w:bottom w:val="single" w:sz="2" w:space="0" w:color="000000"/>
              <w:right w:val="nil"/>
            </w:tcBorders>
            <w:vAlign w:val="bottom"/>
          </w:tcPr>
          <w:p w:rsidR="008F4E89" w:rsidRPr="00F351D5" w:rsidRDefault="008F4E89" w:rsidP="008F4E89">
            <w:pPr>
              <w:adjustRightInd w:val="0"/>
              <w:spacing w:before="60" w:after="60"/>
              <w:ind w:left="-142"/>
              <w:jc w:val="center"/>
              <w:rPr>
                <w:rFonts w:eastAsia="Calibri"/>
                <w:color w:val="000000"/>
              </w:rPr>
            </w:pPr>
            <w:r w:rsidRPr="00F351D5">
              <w:rPr>
                <w:rFonts w:eastAsia="Calibri"/>
                <w:color w:val="000000"/>
              </w:rPr>
              <w:t>3</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adjustRightInd w:val="0"/>
              <w:spacing w:before="60" w:after="60"/>
              <w:ind w:left="-142"/>
              <w:jc w:val="center"/>
              <w:rPr>
                <w:rFonts w:eastAsia="Calibri"/>
                <w:color w:val="000000"/>
              </w:rPr>
            </w:pPr>
            <w:r w:rsidRPr="00F351D5">
              <w:rPr>
                <w:rFonts w:eastAsia="Calibri"/>
                <w:color w:val="000000"/>
              </w:rPr>
              <w:t>27</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adjustRightInd w:val="0"/>
              <w:spacing w:before="60" w:after="60"/>
              <w:ind w:left="-142"/>
              <w:jc w:val="center"/>
              <w:rPr>
                <w:rFonts w:eastAsia="Calibri"/>
                <w:color w:val="000000"/>
              </w:rPr>
            </w:pPr>
            <w:r w:rsidRPr="00F351D5">
              <w:rPr>
                <w:rFonts w:eastAsia="Calibri"/>
                <w:color w:val="000000"/>
              </w:rPr>
              <w:t>60</w:t>
            </w:r>
          </w:p>
        </w:tc>
        <w:tc>
          <w:tcPr>
            <w:tcW w:w="972" w:type="dxa"/>
            <w:tcBorders>
              <w:top w:val="nil"/>
              <w:left w:val="single" w:sz="2" w:space="0" w:color="000000"/>
              <w:bottom w:val="single" w:sz="2" w:space="0" w:color="000000"/>
              <w:right w:val="single" w:sz="6" w:space="0" w:color="000000"/>
            </w:tcBorders>
            <w:vAlign w:val="bottom"/>
          </w:tcPr>
          <w:p w:rsidR="008F4E89" w:rsidRPr="00F351D5" w:rsidRDefault="008F4E89" w:rsidP="008F4E89">
            <w:pPr>
              <w:adjustRightInd w:val="0"/>
              <w:spacing w:before="60" w:after="60"/>
              <w:ind w:left="-142"/>
              <w:jc w:val="center"/>
              <w:rPr>
                <w:rFonts w:eastAsia="Calibri"/>
                <w:color w:val="000000"/>
              </w:rPr>
            </w:pPr>
            <w:r w:rsidRPr="00F351D5">
              <w:rPr>
                <w:rFonts w:eastAsia="Calibri"/>
                <w:color w:val="000000"/>
              </w:rPr>
              <w:t>266</w:t>
            </w:r>
          </w:p>
        </w:tc>
      </w:tr>
      <w:tr w:rsidR="008F4E89" w:rsidRPr="005B5E3A" w:rsidTr="008F4E89">
        <w:trPr>
          <w:cantSplit/>
          <w:trHeight w:val="138"/>
        </w:trPr>
        <w:tc>
          <w:tcPr>
            <w:tcW w:w="2825" w:type="dxa"/>
            <w:tcBorders>
              <w:top w:val="nil"/>
              <w:left w:val="single" w:sz="2" w:space="0" w:color="000000"/>
              <w:bottom w:val="single" w:sz="2" w:space="0" w:color="000000"/>
              <w:right w:val="nil"/>
            </w:tcBorders>
            <w:shd w:val="clear" w:color="auto" w:fill="BBBBBB"/>
            <w:vAlign w:val="center"/>
          </w:tcPr>
          <w:p w:rsidR="008F4E89" w:rsidRDefault="008F4E89" w:rsidP="008F4E89">
            <w:pPr>
              <w:keepNext/>
              <w:adjustRightInd w:val="0"/>
              <w:spacing w:before="60" w:after="60"/>
              <w:ind w:firstLine="4"/>
              <w:rPr>
                <w:rFonts w:eastAsia="Calibri"/>
                <w:bCs/>
                <w:color w:val="000000"/>
                <w:sz w:val="20"/>
                <w:szCs w:val="20"/>
              </w:rPr>
            </w:pPr>
            <w:r w:rsidRPr="00F27B17">
              <w:rPr>
                <w:rFonts w:eastAsia="Calibri"/>
                <w:bCs/>
                <w:color w:val="000000"/>
                <w:sz w:val="20"/>
                <w:szCs w:val="20"/>
              </w:rPr>
              <w:t xml:space="preserve">Total density at </w:t>
            </w:r>
            <w:r>
              <w:rPr>
                <w:rFonts w:eastAsia="Calibri"/>
                <w:bCs/>
                <w:color w:val="000000"/>
                <w:sz w:val="20"/>
                <w:szCs w:val="20"/>
              </w:rPr>
              <w:t>free-growing</w:t>
            </w:r>
            <w:r w:rsidRPr="00F27B17">
              <w:rPr>
                <w:rFonts w:eastAsia="Calibri"/>
                <w:bCs/>
                <w:color w:val="000000"/>
                <w:sz w:val="20"/>
                <w:szCs w:val="20"/>
              </w:rPr>
              <w:t xml:space="preserve"> survey (stems</w:t>
            </w:r>
            <w:r>
              <w:rPr>
                <w:rFonts w:eastAsia="Calibri"/>
                <w:bCs/>
                <w:color w:val="000000"/>
                <w:sz w:val="20"/>
                <w:szCs w:val="20"/>
              </w:rPr>
              <w:t xml:space="preserve"> per hectare</w:t>
            </w:r>
            <w:r w:rsidRPr="00F27B17">
              <w:rPr>
                <w:rFonts w:eastAsia="Calibri"/>
                <w:bCs/>
                <w:color w:val="000000"/>
                <w:sz w:val="20"/>
                <w:szCs w:val="20"/>
              </w:rPr>
              <w:t>)</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2700</w:t>
            </w:r>
          </w:p>
        </w:tc>
        <w:tc>
          <w:tcPr>
            <w:tcW w:w="817"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3860</w:t>
            </w:r>
          </w:p>
        </w:tc>
        <w:tc>
          <w:tcPr>
            <w:tcW w:w="955"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5289</w:t>
            </w:r>
          </w:p>
        </w:tc>
        <w:tc>
          <w:tcPr>
            <w:tcW w:w="682"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9250</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4274</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3544</w:t>
            </w:r>
          </w:p>
        </w:tc>
        <w:tc>
          <w:tcPr>
            <w:tcW w:w="972" w:type="dxa"/>
            <w:tcBorders>
              <w:top w:val="nil"/>
              <w:left w:val="single" w:sz="2" w:space="0" w:color="000000"/>
              <w:bottom w:val="single" w:sz="2" w:space="0" w:color="000000"/>
              <w:right w:val="single" w:sz="6" w:space="0" w:color="000000"/>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4036</w:t>
            </w:r>
          </w:p>
        </w:tc>
      </w:tr>
      <w:tr w:rsidR="008F4E89" w:rsidRPr="005B5E3A" w:rsidTr="008F4E89">
        <w:trPr>
          <w:cantSplit/>
          <w:trHeight w:val="138"/>
        </w:trPr>
        <w:tc>
          <w:tcPr>
            <w:tcW w:w="2825" w:type="dxa"/>
            <w:tcBorders>
              <w:top w:val="nil"/>
              <w:left w:val="single" w:sz="2" w:space="0" w:color="000000"/>
              <w:bottom w:val="single" w:sz="2" w:space="0" w:color="000000"/>
              <w:right w:val="nil"/>
            </w:tcBorders>
            <w:shd w:val="clear" w:color="auto" w:fill="BBBBBB"/>
            <w:vAlign w:val="center"/>
          </w:tcPr>
          <w:p w:rsidR="008F4E89" w:rsidRDefault="008F4E89" w:rsidP="008F4E89">
            <w:pPr>
              <w:keepNext/>
              <w:adjustRightInd w:val="0"/>
              <w:spacing w:before="60" w:after="60"/>
              <w:ind w:firstLine="4"/>
              <w:rPr>
                <w:rFonts w:eastAsia="Calibri"/>
                <w:b/>
                <w:bCs/>
                <w:i/>
                <w:iCs/>
                <w:color w:val="000000"/>
                <w:sz w:val="20"/>
                <w:szCs w:val="20"/>
              </w:rPr>
            </w:pPr>
            <w:r w:rsidRPr="00F27B17">
              <w:rPr>
                <w:rFonts w:eastAsia="Calibri"/>
                <w:bCs/>
                <w:color w:val="000000"/>
                <w:sz w:val="20"/>
                <w:szCs w:val="20"/>
              </w:rPr>
              <w:t xml:space="preserve">Total </w:t>
            </w:r>
            <w:r>
              <w:rPr>
                <w:rFonts w:eastAsia="Calibri"/>
                <w:bCs/>
                <w:color w:val="000000"/>
                <w:sz w:val="20"/>
                <w:szCs w:val="20"/>
              </w:rPr>
              <w:t>d</w:t>
            </w:r>
            <w:r w:rsidRPr="00F27B17">
              <w:rPr>
                <w:rFonts w:eastAsia="Calibri"/>
                <w:bCs/>
                <w:color w:val="000000"/>
                <w:sz w:val="20"/>
                <w:szCs w:val="20"/>
              </w:rPr>
              <w:t xml:space="preserve">ensity </w:t>
            </w:r>
            <w:r>
              <w:rPr>
                <w:rFonts w:eastAsia="Calibri"/>
                <w:bCs/>
                <w:color w:val="000000"/>
                <w:sz w:val="20"/>
                <w:szCs w:val="20"/>
              </w:rPr>
              <w:t xml:space="preserve">at FREP survey </w:t>
            </w:r>
            <w:r>
              <w:rPr>
                <w:rFonts w:eastAsia="Calibri"/>
                <w:bCs/>
                <w:color w:val="000000"/>
                <w:sz w:val="20"/>
                <w:szCs w:val="20"/>
              </w:rPr>
              <w:br/>
              <w:t>(stems per hectare)</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2947</w:t>
            </w:r>
          </w:p>
        </w:tc>
        <w:tc>
          <w:tcPr>
            <w:tcW w:w="817"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2263</w:t>
            </w:r>
          </w:p>
        </w:tc>
        <w:tc>
          <w:tcPr>
            <w:tcW w:w="955"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3596</w:t>
            </w:r>
          </w:p>
        </w:tc>
        <w:tc>
          <w:tcPr>
            <w:tcW w:w="682"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4394</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2908</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3671</w:t>
            </w:r>
          </w:p>
        </w:tc>
        <w:tc>
          <w:tcPr>
            <w:tcW w:w="972" w:type="dxa"/>
            <w:tcBorders>
              <w:top w:val="nil"/>
              <w:left w:val="single" w:sz="2" w:space="0" w:color="000000"/>
              <w:bottom w:val="single" w:sz="2" w:space="0" w:color="000000"/>
              <w:right w:val="single" w:sz="6" w:space="0" w:color="000000"/>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3190</w:t>
            </w:r>
          </w:p>
        </w:tc>
      </w:tr>
      <w:tr w:rsidR="008F4E89" w:rsidRPr="005B5E3A" w:rsidTr="008F4E89">
        <w:trPr>
          <w:cantSplit/>
          <w:trHeight w:val="138"/>
        </w:trPr>
        <w:tc>
          <w:tcPr>
            <w:tcW w:w="2825" w:type="dxa"/>
            <w:tcBorders>
              <w:top w:val="single" w:sz="4" w:space="0" w:color="auto"/>
              <w:left w:val="single" w:sz="2" w:space="0" w:color="000000"/>
              <w:bottom w:val="single" w:sz="4" w:space="0" w:color="auto"/>
              <w:right w:val="nil"/>
            </w:tcBorders>
            <w:shd w:val="clear" w:color="auto" w:fill="BBBBBB"/>
            <w:vAlign w:val="center"/>
          </w:tcPr>
          <w:p w:rsidR="008F4E89" w:rsidRDefault="008F4E89" w:rsidP="008F4E89">
            <w:pPr>
              <w:adjustRightInd w:val="0"/>
              <w:spacing w:before="60" w:after="60"/>
              <w:ind w:firstLine="4"/>
              <w:rPr>
                <w:rFonts w:eastAsia="Calibri"/>
                <w:bCs/>
                <w:color w:val="000000"/>
                <w:sz w:val="20"/>
                <w:szCs w:val="20"/>
              </w:rPr>
            </w:pPr>
            <w:r w:rsidRPr="00F27B17">
              <w:rPr>
                <w:rFonts w:eastAsia="Calibri"/>
                <w:bCs/>
                <w:color w:val="000000"/>
                <w:sz w:val="20"/>
                <w:szCs w:val="20"/>
              </w:rPr>
              <w:t xml:space="preserve">Percent </w:t>
            </w:r>
            <w:r>
              <w:rPr>
                <w:rFonts w:eastAsia="Calibri"/>
                <w:bCs/>
                <w:color w:val="000000"/>
                <w:sz w:val="20"/>
                <w:szCs w:val="20"/>
              </w:rPr>
              <w:t>c</w:t>
            </w:r>
            <w:r w:rsidRPr="00F27B17">
              <w:rPr>
                <w:rFonts w:eastAsia="Calibri"/>
                <w:bCs/>
                <w:color w:val="000000"/>
                <w:sz w:val="20"/>
                <w:szCs w:val="20"/>
              </w:rPr>
              <w:t xml:space="preserve">hange in </w:t>
            </w:r>
            <w:r>
              <w:rPr>
                <w:rFonts w:eastAsia="Calibri"/>
                <w:bCs/>
                <w:color w:val="000000"/>
                <w:sz w:val="20"/>
                <w:szCs w:val="20"/>
              </w:rPr>
              <w:t>t</w:t>
            </w:r>
            <w:r w:rsidRPr="00F27B17">
              <w:rPr>
                <w:rFonts w:eastAsia="Calibri"/>
                <w:bCs/>
                <w:color w:val="000000"/>
                <w:sz w:val="20"/>
                <w:szCs w:val="20"/>
              </w:rPr>
              <w:t xml:space="preserve">otal </w:t>
            </w:r>
            <w:r>
              <w:rPr>
                <w:rFonts w:eastAsia="Calibri"/>
                <w:bCs/>
                <w:color w:val="000000"/>
                <w:sz w:val="20"/>
                <w:szCs w:val="20"/>
              </w:rPr>
              <w:t>d</w:t>
            </w:r>
            <w:r w:rsidRPr="00F27B17">
              <w:rPr>
                <w:rFonts w:eastAsia="Calibri"/>
                <w:bCs/>
                <w:color w:val="000000"/>
                <w:sz w:val="20"/>
                <w:szCs w:val="20"/>
              </w:rPr>
              <w:t>ensity</w:t>
            </w:r>
          </w:p>
        </w:tc>
        <w:tc>
          <w:tcPr>
            <w:tcW w:w="818" w:type="dxa"/>
            <w:tcBorders>
              <w:top w:val="single" w:sz="4" w:space="0" w:color="auto"/>
              <w:left w:val="single" w:sz="2" w:space="0" w:color="000000"/>
              <w:bottom w:val="single" w:sz="4" w:space="0" w:color="auto"/>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+9%</w:t>
            </w:r>
            <w:r w:rsidRPr="00F351D5">
              <w:rPr>
                <w:rFonts w:eastAsia="Calibri"/>
                <w:color w:val="000000"/>
                <w:vertAlign w:val="superscript"/>
              </w:rPr>
              <w:t>b</w:t>
            </w:r>
          </w:p>
        </w:tc>
        <w:tc>
          <w:tcPr>
            <w:tcW w:w="817" w:type="dxa"/>
            <w:tcBorders>
              <w:top w:val="single" w:sz="4" w:space="0" w:color="auto"/>
              <w:left w:val="single" w:sz="2" w:space="0" w:color="000000"/>
              <w:bottom w:val="single" w:sz="4" w:space="0" w:color="auto"/>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–41%</w:t>
            </w:r>
          </w:p>
        </w:tc>
        <w:tc>
          <w:tcPr>
            <w:tcW w:w="955" w:type="dxa"/>
            <w:tcBorders>
              <w:top w:val="single" w:sz="4" w:space="0" w:color="auto"/>
              <w:left w:val="single" w:sz="2" w:space="0" w:color="000000"/>
              <w:bottom w:val="single" w:sz="4" w:space="0" w:color="auto"/>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–32%</w:t>
            </w:r>
          </w:p>
        </w:tc>
        <w:tc>
          <w:tcPr>
            <w:tcW w:w="682" w:type="dxa"/>
            <w:tcBorders>
              <w:top w:val="single" w:sz="4" w:space="0" w:color="auto"/>
              <w:left w:val="single" w:sz="2" w:space="0" w:color="000000"/>
              <w:bottom w:val="single" w:sz="4" w:space="0" w:color="auto"/>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–52%</w:t>
            </w:r>
          </w:p>
        </w:tc>
        <w:tc>
          <w:tcPr>
            <w:tcW w:w="818" w:type="dxa"/>
            <w:tcBorders>
              <w:top w:val="single" w:sz="4" w:space="0" w:color="auto"/>
              <w:left w:val="single" w:sz="2" w:space="0" w:color="000000"/>
              <w:bottom w:val="single" w:sz="4" w:space="0" w:color="auto"/>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–32%</w:t>
            </w:r>
          </w:p>
        </w:tc>
        <w:tc>
          <w:tcPr>
            <w:tcW w:w="818" w:type="dxa"/>
            <w:tcBorders>
              <w:top w:val="single" w:sz="4" w:space="0" w:color="auto"/>
              <w:left w:val="single" w:sz="2" w:space="0" w:color="000000"/>
              <w:bottom w:val="single" w:sz="4" w:space="0" w:color="auto"/>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+4%</w:t>
            </w:r>
            <w:r w:rsidRPr="00F351D5">
              <w:rPr>
                <w:rFonts w:eastAsia="Calibri"/>
                <w:color w:val="000000"/>
                <w:vertAlign w:val="superscript"/>
              </w:rPr>
              <w:t xml:space="preserve"> b</w:t>
            </w:r>
          </w:p>
        </w:tc>
        <w:tc>
          <w:tcPr>
            <w:tcW w:w="972" w:type="dxa"/>
            <w:tcBorders>
              <w:top w:val="single" w:sz="4" w:space="0" w:color="auto"/>
              <w:left w:val="single" w:sz="2" w:space="0" w:color="000000"/>
              <w:bottom w:val="single" w:sz="4" w:space="0" w:color="auto"/>
              <w:right w:val="single" w:sz="6" w:space="0" w:color="000000"/>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–21%</w:t>
            </w:r>
          </w:p>
        </w:tc>
      </w:tr>
      <w:tr w:rsidR="008F4E89" w:rsidRPr="00393643" w:rsidTr="008F4E89">
        <w:trPr>
          <w:cantSplit/>
          <w:trHeight w:val="426"/>
        </w:trPr>
        <w:tc>
          <w:tcPr>
            <w:tcW w:w="2825" w:type="dxa"/>
            <w:tcBorders>
              <w:top w:val="nil"/>
              <w:left w:val="single" w:sz="2" w:space="0" w:color="000000"/>
              <w:bottom w:val="single" w:sz="2" w:space="0" w:color="000000"/>
              <w:right w:val="nil"/>
            </w:tcBorders>
            <w:shd w:val="clear" w:color="auto" w:fill="BBBBBB"/>
          </w:tcPr>
          <w:p w:rsidR="008F4E89" w:rsidRPr="00904A85" w:rsidRDefault="008F4E89" w:rsidP="008F4E89">
            <w:pPr>
              <w:keepNext/>
              <w:adjustRightInd w:val="0"/>
              <w:spacing w:before="60" w:after="60"/>
              <w:rPr>
                <w:rFonts w:ascii="Calibri" w:eastAsia="Calibri" w:hAnsi="Calibri"/>
                <w:bCs/>
                <w:color w:val="000000"/>
                <w:sz w:val="20"/>
                <w:szCs w:val="20"/>
              </w:rPr>
            </w:pPr>
            <w:r>
              <w:rPr>
                <w:rFonts w:ascii="Calibri" w:eastAsia="Calibri" w:hAnsi="Calibri"/>
                <w:bCs/>
                <w:color w:val="000000"/>
                <w:sz w:val="20"/>
                <w:szCs w:val="20"/>
              </w:rPr>
              <w:t>Target free-growing density</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jc w:val="center"/>
              <w:rPr>
                <w:rFonts w:ascii="Calibri" w:eastAsia="Calibri" w:hAnsi="Calibri"/>
                <w:color w:val="000000"/>
              </w:rPr>
            </w:pPr>
            <w:r>
              <w:rPr>
                <w:rFonts w:ascii="Calibri" w:eastAsia="Calibri" w:hAnsi="Calibri"/>
                <w:color w:val="000000"/>
              </w:rPr>
              <w:t>900</w:t>
            </w:r>
          </w:p>
        </w:tc>
        <w:tc>
          <w:tcPr>
            <w:tcW w:w="817"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jc w:val="center"/>
              <w:rPr>
                <w:rFonts w:ascii="Calibri" w:eastAsia="Calibri" w:hAnsi="Calibri"/>
                <w:color w:val="000000"/>
              </w:rPr>
            </w:pPr>
            <w:r>
              <w:rPr>
                <w:rFonts w:ascii="Calibri" w:eastAsia="Calibri" w:hAnsi="Calibri"/>
                <w:color w:val="000000"/>
              </w:rPr>
              <w:t>1200</w:t>
            </w:r>
          </w:p>
        </w:tc>
        <w:tc>
          <w:tcPr>
            <w:tcW w:w="955"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jc w:val="center"/>
              <w:rPr>
                <w:rFonts w:ascii="Calibri" w:eastAsia="Calibri" w:hAnsi="Calibri"/>
                <w:color w:val="000000"/>
              </w:rPr>
            </w:pPr>
            <w:r>
              <w:rPr>
                <w:rFonts w:ascii="Calibri" w:eastAsia="Calibri" w:hAnsi="Calibri"/>
                <w:color w:val="000000"/>
              </w:rPr>
              <w:t>1200</w:t>
            </w:r>
          </w:p>
        </w:tc>
        <w:tc>
          <w:tcPr>
            <w:tcW w:w="682"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jc w:val="center"/>
              <w:rPr>
                <w:rFonts w:ascii="Calibri" w:eastAsia="Calibri" w:hAnsi="Calibri"/>
                <w:color w:val="000000"/>
              </w:rPr>
            </w:pPr>
            <w:r>
              <w:rPr>
                <w:rFonts w:ascii="Calibri" w:eastAsia="Calibri" w:hAnsi="Calibri"/>
                <w:color w:val="000000"/>
              </w:rPr>
              <w:t>1000</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jc w:val="center"/>
              <w:rPr>
                <w:rFonts w:ascii="Calibri" w:eastAsia="Calibri" w:hAnsi="Calibri"/>
                <w:color w:val="000000"/>
              </w:rPr>
            </w:pPr>
            <w:r>
              <w:rPr>
                <w:rFonts w:ascii="Calibri" w:eastAsia="Calibri" w:hAnsi="Calibri"/>
                <w:color w:val="000000"/>
              </w:rPr>
              <w:t>1200</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jc w:val="center"/>
              <w:rPr>
                <w:rFonts w:ascii="Calibri" w:eastAsia="Calibri" w:hAnsi="Calibri"/>
                <w:color w:val="000000"/>
              </w:rPr>
            </w:pPr>
            <w:r>
              <w:rPr>
                <w:rFonts w:ascii="Calibri" w:eastAsia="Calibri" w:hAnsi="Calibri"/>
                <w:color w:val="000000"/>
              </w:rPr>
              <w:t>1200</w:t>
            </w:r>
          </w:p>
        </w:tc>
        <w:tc>
          <w:tcPr>
            <w:tcW w:w="972" w:type="dxa"/>
            <w:tcBorders>
              <w:top w:val="nil"/>
              <w:left w:val="single" w:sz="2" w:space="0" w:color="000000"/>
              <w:bottom w:val="single" w:sz="2" w:space="0" w:color="000000"/>
              <w:right w:val="single" w:sz="6" w:space="0" w:color="000000"/>
            </w:tcBorders>
            <w:vAlign w:val="bottom"/>
          </w:tcPr>
          <w:p w:rsidR="008F4E89" w:rsidRPr="00F351D5" w:rsidRDefault="008F4E89" w:rsidP="008F4E89">
            <w:pPr>
              <w:keepNext/>
              <w:adjustRightInd w:val="0"/>
              <w:spacing w:before="60" w:after="60"/>
              <w:jc w:val="center"/>
              <w:rPr>
                <w:rFonts w:ascii="Calibri" w:eastAsia="Calibri" w:hAnsi="Calibri"/>
                <w:color w:val="000000"/>
              </w:rPr>
            </w:pPr>
          </w:p>
        </w:tc>
      </w:tr>
      <w:tr w:rsidR="008F4E89" w:rsidRPr="00393643" w:rsidTr="008F4E89">
        <w:trPr>
          <w:cantSplit/>
          <w:trHeight w:val="426"/>
        </w:trPr>
        <w:tc>
          <w:tcPr>
            <w:tcW w:w="2825" w:type="dxa"/>
            <w:tcBorders>
              <w:top w:val="nil"/>
              <w:left w:val="single" w:sz="2" w:space="0" w:color="000000"/>
              <w:bottom w:val="single" w:sz="2" w:space="0" w:color="000000"/>
              <w:right w:val="nil"/>
            </w:tcBorders>
            <w:shd w:val="clear" w:color="auto" w:fill="BBBBBB"/>
          </w:tcPr>
          <w:p w:rsidR="008F4E89" w:rsidRDefault="008F4E89" w:rsidP="008F4E89">
            <w:pPr>
              <w:keepNext/>
              <w:adjustRightInd w:val="0"/>
              <w:spacing w:before="60" w:after="60"/>
              <w:rPr>
                <w:rFonts w:ascii="Calibri" w:eastAsia="Calibri" w:hAnsi="Calibri"/>
                <w:bCs/>
                <w:color w:val="000000"/>
                <w:sz w:val="20"/>
                <w:szCs w:val="20"/>
              </w:rPr>
            </w:pPr>
            <w:r>
              <w:rPr>
                <w:rFonts w:ascii="Calibri" w:eastAsia="Calibri" w:hAnsi="Calibri"/>
                <w:bCs/>
                <w:color w:val="000000"/>
                <w:sz w:val="20"/>
                <w:szCs w:val="20"/>
              </w:rPr>
              <w:t>Minimum free-growing density threshold</w:t>
            </w:r>
          </w:p>
        </w:tc>
        <w:tc>
          <w:tcPr>
            <w:tcW w:w="818" w:type="dxa"/>
            <w:tcBorders>
              <w:top w:val="nil"/>
              <w:left w:val="single" w:sz="2" w:space="0" w:color="000000"/>
              <w:bottom w:val="single" w:sz="2" w:space="0" w:color="000000"/>
              <w:right w:val="nil"/>
            </w:tcBorders>
            <w:vAlign w:val="bottom"/>
          </w:tcPr>
          <w:p w:rsidR="008F4E89" w:rsidRDefault="008F4E89" w:rsidP="008F4E89">
            <w:pPr>
              <w:keepNext/>
              <w:adjustRightInd w:val="0"/>
              <w:spacing w:before="60" w:after="60"/>
              <w:jc w:val="center"/>
              <w:rPr>
                <w:rFonts w:ascii="Calibri" w:eastAsia="Calibri" w:hAnsi="Calibri"/>
                <w:color w:val="000000"/>
              </w:rPr>
            </w:pPr>
            <w:r>
              <w:rPr>
                <w:rFonts w:ascii="Calibri" w:eastAsia="Calibri" w:hAnsi="Calibri"/>
                <w:color w:val="000000"/>
              </w:rPr>
              <w:t>500</w:t>
            </w:r>
          </w:p>
        </w:tc>
        <w:tc>
          <w:tcPr>
            <w:tcW w:w="817" w:type="dxa"/>
            <w:tcBorders>
              <w:top w:val="nil"/>
              <w:left w:val="single" w:sz="2" w:space="0" w:color="000000"/>
              <w:bottom w:val="single" w:sz="2" w:space="0" w:color="000000"/>
              <w:right w:val="nil"/>
            </w:tcBorders>
            <w:vAlign w:val="bottom"/>
          </w:tcPr>
          <w:p w:rsidR="008F4E89" w:rsidRDefault="008F4E89" w:rsidP="008F4E89">
            <w:pPr>
              <w:keepNext/>
              <w:adjustRightInd w:val="0"/>
              <w:spacing w:before="60" w:after="60"/>
              <w:jc w:val="center"/>
              <w:rPr>
                <w:rFonts w:ascii="Calibri" w:eastAsia="Calibri" w:hAnsi="Calibri"/>
                <w:color w:val="000000"/>
              </w:rPr>
            </w:pPr>
            <w:r>
              <w:rPr>
                <w:rFonts w:ascii="Calibri" w:eastAsia="Calibri" w:hAnsi="Calibri"/>
                <w:color w:val="000000"/>
              </w:rPr>
              <w:t>700</w:t>
            </w:r>
          </w:p>
        </w:tc>
        <w:tc>
          <w:tcPr>
            <w:tcW w:w="955" w:type="dxa"/>
            <w:tcBorders>
              <w:top w:val="nil"/>
              <w:left w:val="single" w:sz="2" w:space="0" w:color="000000"/>
              <w:bottom w:val="single" w:sz="2" w:space="0" w:color="000000"/>
              <w:right w:val="nil"/>
            </w:tcBorders>
            <w:vAlign w:val="bottom"/>
          </w:tcPr>
          <w:p w:rsidR="008F4E89" w:rsidRDefault="008F4E89" w:rsidP="008F4E89">
            <w:pPr>
              <w:keepNext/>
              <w:adjustRightInd w:val="0"/>
              <w:spacing w:before="60" w:after="60"/>
              <w:jc w:val="center"/>
              <w:rPr>
                <w:rFonts w:ascii="Calibri" w:eastAsia="Calibri" w:hAnsi="Calibri"/>
                <w:color w:val="000000"/>
              </w:rPr>
            </w:pPr>
            <w:r>
              <w:rPr>
                <w:rFonts w:ascii="Calibri" w:eastAsia="Calibri" w:hAnsi="Calibri"/>
                <w:color w:val="000000"/>
              </w:rPr>
              <w:t>700</w:t>
            </w:r>
          </w:p>
        </w:tc>
        <w:tc>
          <w:tcPr>
            <w:tcW w:w="682" w:type="dxa"/>
            <w:tcBorders>
              <w:top w:val="nil"/>
              <w:left w:val="single" w:sz="2" w:space="0" w:color="000000"/>
              <w:bottom w:val="single" w:sz="2" w:space="0" w:color="000000"/>
              <w:right w:val="nil"/>
            </w:tcBorders>
            <w:vAlign w:val="bottom"/>
          </w:tcPr>
          <w:p w:rsidR="008F4E89" w:rsidRDefault="008F4E89" w:rsidP="008F4E89">
            <w:pPr>
              <w:keepNext/>
              <w:adjustRightInd w:val="0"/>
              <w:spacing w:before="60" w:after="60"/>
              <w:jc w:val="center"/>
              <w:rPr>
                <w:rFonts w:ascii="Calibri" w:eastAsia="Calibri" w:hAnsi="Calibri"/>
                <w:color w:val="000000"/>
              </w:rPr>
            </w:pPr>
            <w:r>
              <w:rPr>
                <w:rFonts w:ascii="Calibri" w:eastAsia="Calibri" w:hAnsi="Calibri"/>
                <w:color w:val="000000"/>
              </w:rPr>
              <w:t>600</w:t>
            </w:r>
          </w:p>
        </w:tc>
        <w:tc>
          <w:tcPr>
            <w:tcW w:w="818" w:type="dxa"/>
            <w:tcBorders>
              <w:top w:val="nil"/>
              <w:left w:val="single" w:sz="2" w:space="0" w:color="000000"/>
              <w:bottom w:val="single" w:sz="2" w:space="0" w:color="000000"/>
              <w:right w:val="nil"/>
            </w:tcBorders>
            <w:vAlign w:val="bottom"/>
          </w:tcPr>
          <w:p w:rsidR="008F4E89" w:rsidRDefault="008F4E89" w:rsidP="008F4E89">
            <w:pPr>
              <w:keepNext/>
              <w:adjustRightInd w:val="0"/>
              <w:spacing w:before="60" w:after="60"/>
              <w:jc w:val="center"/>
              <w:rPr>
                <w:rFonts w:ascii="Calibri" w:eastAsia="Calibri" w:hAnsi="Calibri"/>
                <w:color w:val="000000"/>
              </w:rPr>
            </w:pPr>
            <w:r>
              <w:rPr>
                <w:rFonts w:ascii="Calibri" w:eastAsia="Calibri" w:hAnsi="Calibri"/>
                <w:color w:val="000000"/>
              </w:rPr>
              <w:t>700</w:t>
            </w:r>
          </w:p>
        </w:tc>
        <w:tc>
          <w:tcPr>
            <w:tcW w:w="818" w:type="dxa"/>
            <w:tcBorders>
              <w:top w:val="nil"/>
              <w:left w:val="single" w:sz="2" w:space="0" w:color="000000"/>
              <w:bottom w:val="single" w:sz="2" w:space="0" w:color="000000"/>
              <w:right w:val="nil"/>
            </w:tcBorders>
            <w:vAlign w:val="bottom"/>
          </w:tcPr>
          <w:p w:rsidR="008F4E89" w:rsidRDefault="008F4E89" w:rsidP="008F4E89">
            <w:pPr>
              <w:keepNext/>
              <w:adjustRightInd w:val="0"/>
              <w:spacing w:before="60" w:after="60"/>
              <w:jc w:val="center"/>
              <w:rPr>
                <w:rFonts w:ascii="Calibri" w:eastAsia="Calibri" w:hAnsi="Calibri"/>
                <w:color w:val="000000"/>
              </w:rPr>
            </w:pPr>
            <w:r>
              <w:rPr>
                <w:rFonts w:ascii="Calibri" w:eastAsia="Calibri" w:hAnsi="Calibri"/>
                <w:color w:val="000000"/>
              </w:rPr>
              <w:t>700</w:t>
            </w:r>
          </w:p>
        </w:tc>
        <w:tc>
          <w:tcPr>
            <w:tcW w:w="972" w:type="dxa"/>
            <w:tcBorders>
              <w:top w:val="nil"/>
              <w:left w:val="single" w:sz="2" w:space="0" w:color="000000"/>
              <w:bottom w:val="single" w:sz="2" w:space="0" w:color="000000"/>
              <w:right w:val="single" w:sz="6" w:space="0" w:color="000000"/>
            </w:tcBorders>
            <w:vAlign w:val="bottom"/>
          </w:tcPr>
          <w:p w:rsidR="008F4E89" w:rsidRPr="00F351D5" w:rsidRDefault="008F4E89" w:rsidP="008F4E89">
            <w:pPr>
              <w:keepNext/>
              <w:adjustRightInd w:val="0"/>
              <w:spacing w:before="60" w:after="60"/>
              <w:jc w:val="center"/>
              <w:rPr>
                <w:rFonts w:ascii="Calibri" w:eastAsia="Calibri" w:hAnsi="Calibri"/>
                <w:color w:val="000000"/>
              </w:rPr>
            </w:pPr>
          </w:p>
        </w:tc>
      </w:tr>
      <w:tr w:rsidR="008F4E89" w:rsidRPr="00393643" w:rsidTr="008F4E89">
        <w:trPr>
          <w:cantSplit/>
          <w:trHeight w:val="426"/>
        </w:trPr>
        <w:tc>
          <w:tcPr>
            <w:tcW w:w="2825" w:type="dxa"/>
            <w:tcBorders>
              <w:top w:val="nil"/>
              <w:left w:val="single" w:sz="2" w:space="0" w:color="000000"/>
              <w:bottom w:val="single" w:sz="2" w:space="0" w:color="000000"/>
              <w:right w:val="nil"/>
            </w:tcBorders>
            <w:shd w:val="clear" w:color="auto" w:fill="BBBBBB"/>
          </w:tcPr>
          <w:p w:rsidR="008F4E89" w:rsidRPr="00904A85" w:rsidRDefault="008F4E89" w:rsidP="008F4E89">
            <w:pPr>
              <w:keepNext/>
              <w:adjustRightInd w:val="0"/>
              <w:spacing w:before="60" w:after="60"/>
              <w:rPr>
                <w:rFonts w:ascii="Calibri" w:eastAsia="Calibri" w:hAnsi="Calibri"/>
                <w:bCs/>
                <w:color w:val="000000"/>
                <w:sz w:val="20"/>
                <w:szCs w:val="20"/>
              </w:rPr>
            </w:pPr>
            <w:r w:rsidRPr="00904A85">
              <w:rPr>
                <w:rFonts w:ascii="Calibri" w:eastAsia="Calibri" w:hAnsi="Calibri"/>
                <w:bCs/>
                <w:color w:val="000000"/>
                <w:sz w:val="20"/>
                <w:szCs w:val="20"/>
              </w:rPr>
              <w:t xml:space="preserve">Well-spaced </w:t>
            </w:r>
            <w:r>
              <w:rPr>
                <w:rFonts w:ascii="Calibri" w:eastAsia="Calibri" w:hAnsi="Calibri"/>
                <w:bCs/>
                <w:color w:val="000000"/>
                <w:sz w:val="20"/>
                <w:szCs w:val="20"/>
              </w:rPr>
              <w:t>d</w:t>
            </w:r>
            <w:r w:rsidRPr="00904A85">
              <w:rPr>
                <w:rFonts w:ascii="Calibri" w:eastAsia="Calibri" w:hAnsi="Calibri"/>
                <w:bCs/>
                <w:color w:val="000000"/>
                <w:sz w:val="20"/>
                <w:szCs w:val="20"/>
              </w:rPr>
              <w:t>ensity</w:t>
            </w:r>
            <w:r>
              <w:rPr>
                <w:rFonts w:ascii="Calibri" w:eastAsia="Calibri" w:hAnsi="Calibri"/>
                <w:bCs/>
                <w:color w:val="000000"/>
                <w:sz w:val="20"/>
                <w:szCs w:val="20"/>
              </w:rPr>
              <w:t xml:space="preserve"> at FREP survey</w:t>
            </w:r>
            <w:r w:rsidRPr="00904A85">
              <w:rPr>
                <w:rFonts w:ascii="Calibri" w:eastAsia="Calibri" w:hAnsi="Calibri"/>
                <w:bCs/>
                <w:color w:val="000000"/>
                <w:sz w:val="20"/>
                <w:szCs w:val="20"/>
              </w:rPr>
              <w:t xml:space="preserve"> </w:t>
            </w:r>
            <w:r>
              <w:rPr>
                <w:rFonts w:eastAsia="Calibri"/>
                <w:bCs/>
                <w:color w:val="000000"/>
                <w:sz w:val="20"/>
                <w:szCs w:val="20"/>
              </w:rPr>
              <w:t>(stems per hectare)</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jc w:val="center"/>
              <w:rPr>
                <w:rFonts w:ascii="Calibri" w:eastAsia="Calibri" w:hAnsi="Calibri"/>
                <w:color w:val="000000"/>
              </w:rPr>
            </w:pPr>
            <w:r w:rsidRPr="00F351D5">
              <w:rPr>
                <w:rFonts w:ascii="Calibri" w:eastAsia="Calibri" w:hAnsi="Calibri"/>
                <w:color w:val="000000"/>
              </w:rPr>
              <w:t>792</w:t>
            </w:r>
          </w:p>
        </w:tc>
        <w:tc>
          <w:tcPr>
            <w:tcW w:w="817" w:type="dxa"/>
            <w:tcBorders>
              <w:top w:val="nil"/>
              <w:left w:val="single" w:sz="2" w:space="0" w:color="000000"/>
              <w:bottom w:val="single" w:sz="2" w:space="0" w:color="000000"/>
              <w:right w:val="nil"/>
            </w:tcBorders>
            <w:vAlign w:val="bottom"/>
          </w:tcPr>
          <w:p w:rsidR="008F4E89" w:rsidRPr="008F4E89" w:rsidRDefault="008F4E89" w:rsidP="008F4E89">
            <w:pPr>
              <w:keepNext/>
              <w:adjustRightInd w:val="0"/>
              <w:spacing w:before="60" w:after="60"/>
              <w:jc w:val="center"/>
              <w:rPr>
                <w:rFonts w:ascii="Calibri" w:eastAsia="Calibri" w:hAnsi="Calibri"/>
                <w:color w:val="000000"/>
                <w:highlight w:val="yellow"/>
              </w:rPr>
            </w:pPr>
            <w:r w:rsidRPr="008F4E89">
              <w:rPr>
                <w:rFonts w:ascii="Calibri" w:eastAsia="Calibri" w:hAnsi="Calibri"/>
                <w:color w:val="000000"/>
                <w:highlight w:val="yellow"/>
              </w:rPr>
              <w:t>886</w:t>
            </w:r>
          </w:p>
        </w:tc>
        <w:tc>
          <w:tcPr>
            <w:tcW w:w="955" w:type="dxa"/>
            <w:tcBorders>
              <w:top w:val="nil"/>
              <w:left w:val="single" w:sz="2" w:space="0" w:color="000000"/>
              <w:bottom w:val="single" w:sz="2" w:space="0" w:color="000000"/>
              <w:right w:val="nil"/>
            </w:tcBorders>
            <w:vAlign w:val="bottom"/>
          </w:tcPr>
          <w:p w:rsidR="008F4E89" w:rsidRPr="008F4E89" w:rsidRDefault="008F4E89" w:rsidP="008F4E89">
            <w:pPr>
              <w:keepNext/>
              <w:adjustRightInd w:val="0"/>
              <w:spacing w:before="60" w:after="60"/>
              <w:jc w:val="center"/>
              <w:rPr>
                <w:rFonts w:ascii="Calibri" w:eastAsia="Calibri" w:hAnsi="Calibri"/>
                <w:color w:val="000000"/>
                <w:highlight w:val="yellow"/>
              </w:rPr>
            </w:pPr>
            <w:r w:rsidRPr="008F4E89">
              <w:rPr>
                <w:rFonts w:ascii="Calibri" w:eastAsia="Calibri" w:hAnsi="Calibri"/>
                <w:color w:val="000000"/>
                <w:highlight w:val="yellow"/>
              </w:rPr>
              <w:t>840</w:t>
            </w:r>
          </w:p>
        </w:tc>
        <w:tc>
          <w:tcPr>
            <w:tcW w:w="682" w:type="dxa"/>
            <w:tcBorders>
              <w:top w:val="nil"/>
              <w:left w:val="single" w:sz="2" w:space="0" w:color="000000"/>
              <w:bottom w:val="single" w:sz="2" w:space="0" w:color="000000"/>
              <w:right w:val="nil"/>
            </w:tcBorders>
            <w:vAlign w:val="bottom"/>
          </w:tcPr>
          <w:p w:rsidR="008F4E89" w:rsidRPr="008F4E89" w:rsidRDefault="008F4E89" w:rsidP="008F4E89">
            <w:pPr>
              <w:keepNext/>
              <w:adjustRightInd w:val="0"/>
              <w:spacing w:before="60" w:after="60"/>
              <w:jc w:val="center"/>
              <w:rPr>
                <w:rFonts w:ascii="Calibri" w:eastAsia="Calibri" w:hAnsi="Calibri"/>
                <w:color w:val="000000"/>
                <w:highlight w:val="yellow"/>
              </w:rPr>
            </w:pPr>
            <w:r w:rsidRPr="008F4E89">
              <w:rPr>
                <w:rFonts w:ascii="Calibri" w:eastAsia="Calibri" w:hAnsi="Calibri"/>
                <w:color w:val="000000"/>
                <w:highlight w:val="yellow"/>
              </w:rPr>
              <w:t>813</w:t>
            </w:r>
          </w:p>
        </w:tc>
        <w:tc>
          <w:tcPr>
            <w:tcW w:w="818" w:type="dxa"/>
            <w:tcBorders>
              <w:top w:val="nil"/>
              <w:left w:val="single" w:sz="2" w:space="0" w:color="000000"/>
              <w:bottom w:val="single" w:sz="2" w:space="0" w:color="000000"/>
              <w:right w:val="nil"/>
            </w:tcBorders>
            <w:vAlign w:val="bottom"/>
          </w:tcPr>
          <w:p w:rsidR="008F4E89" w:rsidRPr="008F4E89" w:rsidRDefault="008F4E89" w:rsidP="008F4E89">
            <w:pPr>
              <w:keepNext/>
              <w:adjustRightInd w:val="0"/>
              <w:spacing w:before="60" w:after="60"/>
              <w:jc w:val="center"/>
              <w:rPr>
                <w:rFonts w:ascii="Calibri" w:eastAsia="Calibri" w:hAnsi="Calibri"/>
                <w:color w:val="000000"/>
                <w:highlight w:val="yellow"/>
              </w:rPr>
            </w:pPr>
            <w:r w:rsidRPr="008F4E89">
              <w:rPr>
                <w:rFonts w:ascii="Calibri" w:eastAsia="Calibri" w:hAnsi="Calibri"/>
                <w:color w:val="000000"/>
                <w:highlight w:val="yellow"/>
              </w:rPr>
              <w:t>890</w:t>
            </w:r>
          </w:p>
        </w:tc>
        <w:tc>
          <w:tcPr>
            <w:tcW w:w="818" w:type="dxa"/>
            <w:tcBorders>
              <w:top w:val="nil"/>
              <w:left w:val="single" w:sz="2" w:space="0" w:color="000000"/>
              <w:bottom w:val="single" w:sz="2" w:space="0" w:color="000000"/>
              <w:right w:val="nil"/>
            </w:tcBorders>
            <w:vAlign w:val="bottom"/>
          </w:tcPr>
          <w:p w:rsidR="008F4E89" w:rsidRPr="008F4E89" w:rsidRDefault="008F4E89" w:rsidP="008F4E89">
            <w:pPr>
              <w:keepNext/>
              <w:adjustRightInd w:val="0"/>
              <w:spacing w:before="60" w:after="60"/>
              <w:jc w:val="center"/>
              <w:rPr>
                <w:rFonts w:ascii="Calibri" w:eastAsia="Calibri" w:hAnsi="Calibri"/>
                <w:color w:val="000000"/>
                <w:highlight w:val="yellow"/>
              </w:rPr>
            </w:pPr>
            <w:r w:rsidRPr="008F4E89">
              <w:rPr>
                <w:rFonts w:ascii="Calibri" w:eastAsia="Calibri" w:hAnsi="Calibri"/>
                <w:color w:val="000000"/>
                <w:highlight w:val="yellow"/>
              </w:rPr>
              <w:t>1137</w:t>
            </w:r>
          </w:p>
        </w:tc>
        <w:tc>
          <w:tcPr>
            <w:tcW w:w="972" w:type="dxa"/>
            <w:tcBorders>
              <w:top w:val="nil"/>
              <w:left w:val="single" w:sz="2" w:space="0" w:color="000000"/>
              <w:bottom w:val="single" w:sz="2" w:space="0" w:color="000000"/>
              <w:right w:val="single" w:sz="6" w:space="0" w:color="000000"/>
            </w:tcBorders>
            <w:vAlign w:val="bottom"/>
          </w:tcPr>
          <w:p w:rsidR="008F4E89" w:rsidRPr="00F351D5" w:rsidRDefault="008F4E89" w:rsidP="008F4E89">
            <w:pPr>
              <w:keepNext/>
              <w:adjustRightInd w:val="0"/>
              <w:spacing w:before="60" w:after="60"/>
              <w:jc w:val="center"/>
              <w:rPr>
                <w:rFonts w:ascii="Calibri" w:eastAsia="Calibri" w:hAnsi="Calibri"/>
                <w:color w:val="000000"/>
              </w:rPr>
            </w:pPr>
            <w:r w:rsidRPr="00F351D5">
              <w:rPr>
                <w:rFonts w:ascii="Calibri" w:eastAsia="Calibri" w:hAnsi="Calibri"/>
                <w:color w:val="000000"/>
              </w:rPr>
              <w:t>909</w:t>
            </w:r>
          </w:p>
        </w:tc>
      </w:tr>
      <w:tr w:rsidR="008F4E89" w:rsidRPr="00393643" w:rsidTr="008F4E89">
        <w:trPr>
          <w:cantSplit/>
          <w:trHeight w:val="417"/>
        </w:trPr>
        <w:tc>
          <w:tcPr>
            <w:tcW w:w="2825" w:type="dxa"/>
            <w:tcBorders>
              <w:top w:val="nil"/>
              <w:left w:val="single" w:sz="2" w:space="0" w:color="000000"/>
              <w:bottom w:val="single" w:sz="2" w:space="0" w:color="000000"/>
              <w:right w:val="nil"/>
            </w:tcBorders>
            <w:shd w:val="clear" w:color="auto" w:fill="BBBBBB"/>
          </w:tcPr>
          <w:p w:rsidR="008F4E89" w:rsidRPr="00904A85" w:rsidRDefault="008F4E89" w:rsidP="008F4E89">
            <w:pPr>
              <w:keepNext/>
              <w:adjustRightInd w:val="0"/>
              <w:spacing w:before="60" w:after="60"/>
              <w:rPr>
                <w:rFonts w:ascii="Calibri" w:eastAsia="Calibri" w:hAnsi="Calibri"/>
                <w:bCs/>
                <w:color w:val="000000"/>
                <w:sz w:val="20"/>
                <w:szCs w:val="20"/>
              </w:rPr>
            </w:pPr>
            <w:r w:rsidRPr="00904A85">
              <w:rPr>
                <w:rFonts w:ascii="Calibri" w:eastAsia="Calibri" w:hAnsi="Calibri"/>
                <w:bCs/>
                <w:color w:val="000000"/>
                <w:sz w:val="20"/>
                <w:szCs w:val="20"/>
              </w:rPr>
              <w:t xml:space="preserve">Free-growing </w:t>
            </w:r>
            <w:r>
              <w:rPr>
                <w:rFonts w:ascii="Calibri" w:eastAsia="Calibri" w:hAnsi="Calibri"/>
                <w:bCs/>
                <w:color w:val="000000"/>
                <w:sz w:val="20"/>
                <w:szCs w:val="20"/>
              </w:rPr>
              <w:t>d</w:t>
            </w:r>
            <w:r w:rsidRPr="00904A85">
              <w:rPr>
                <w:rFonts w:ascii="Calibri" w:eastAsia="Calibri" w:hAnsi="Calibri"/>
                <w:bCs/>
                <w:color w:val="000000"/>
                <w:sz w:val="20"/>
                <w:szCs w:val="20"/>
              </w:rPr>
              <w:t xml:space="preserve">ensity </w:t>
            </w:r>
            <w:r>
              <w:rPr>
                <w:rFonts w:ascii="Calibri" w:eastAsia="Calibri" w:hAnsi="Calibri"/>
                <w:bCs/>
                <w:color w:val="000000"/>
                <w:sz w:val="20"/>
                <w:szCs w:val="20"/>
              </w:rPr>
              <w:t>at FREP survey (stems per hectare)</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jc w:val="center"/>
              <w:rPr>
                <w:rFonts w:ascii="Calibri" w:eastAsia="Calibri" w:hAnsi="Calibri"/>
                <w:color w:val="000000"/>
              </w:rPr>
            </w:pPr>
            <w:r w:rsidRPr="00F351D5">
              <w:rPr>
                <w:rFonts w:ascii="Calibri" w:eastAsia="Calibri" w:hAnsi="Calibri"/>
                <w:color w:val="000000"/>
              </w:rPr>
              <w:t>672</w:t>
            </w:r>
          </w:p>
        </w:tc>
        <w:tc>
          <w:tcPr>
            <w:tcW w:w="817"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jc w:val="center"/>
              <w:rPr>
                <w:rFonts w:ascii="Calibri" w:eastAsia="Calibri" w:hAnsi="Calibri"/>
                <w:color w:val="000000"/>
              </w:rPr>
            </w:pPr>
            <w:r w:rsidRPr="00F351D5">
              <w:rPr>
                <w:rFonts w:ascii="Calibri" w:eastAsia="Calibri" w:hAnsi="Calibri"/>
                <w:color w:val="000000"/>
              </w:rPr>
              <w:t>868</w:t>
            </w:r>
          </w:p>
        </w:tc>
        <w:tc>
          <w:tcPr>
            <w:tcW w:w="955"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jc w:val="center"/>
              <w:rPr>
                <w:rFonts w:ascii="Calibri" w:eastAsia="Calibri" w:hAnsi="Calibri"/>
                <w:color w:val="000000"/>
              </w:rPr>
            </w:pPr>
            <w:r w:rsidRPr="00F351D5">
              <w:rPr>
                <w:rFonts w:ascii="Calibri" w:eastAsia="Calibri" w:hAnsi="Calibri"/>
                <w:color w:val="000000"/>
              </w:rPr>
              <w:t>778</w:t>
            </w:r>
          </w:p>
        </w:tc>
        <w:tc>
          <w:tcPr>
            <w:tcW w:w="682"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jc w:val="center"/>
              <w:rPr>
                <w:rFonts w:ascii="Calibri" w:eastAsia="Calibri" w:hAnsi="Calibri"/>
                <w:color w:val="000000"/>
              </w:rPr>
            </w:pPr>
            <w:r w:rsidRPr="00F351D5">
              <w:rPr>
                <w:rFonts w:ascii="Calibri" w:eastAsia="Calibri" w:hAnsi="Calibri"/>
                <w:color w:val="000000"/>
              </w:rPr>
              <w:t>760</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jc w:val="center"/>
              <w:rPr>
                <w:rFonts w:ascii="Calibri" w:eastAsia="Calibri" w:hAnsi="Calibri"/>
                <w:color w:val="000000"/>
              </w:rPr>
            </w:pPr>
            <w:r w:rsidRPr="00F351D5">
              <w:rPr>
                <w:rFonts w:ascii="Calibri" w:eastAsia="Calibri" w:hAnsi="Calibri"/>
                <w:color w:val="000000"/>
              </w:rPr>
              <w:t>866</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jc w:val="center"/>
              <w:rPr>
                <w:rFonts w:ascii="Calibri" w:eastAsia="Calibri" w:hAnsi="Calibri"/>
                <w:color w:val="000000"/>
              </w:rPr>
            </w:pPr>
            <w:r w:rsidRPr="00F351D5">
              <w:rPr>
                <w:rFonts w:ascii="Calibri" w:eastAsia="Calibri" w:hAnsi="Calibri"/>
                <w:color w:val="000000"/>
              </w:rPr>
              <w:t>1078</w:t>
            </w:r>
          </w:p>
        </w:tc>
        <w:tc>
          <w:tcPr>
            <w:tcW w:w="972" w:type="dxa"/>
            <w:tcBorders>
              <w:top w:val="nil"/>
              <w:left w:val="single" w:sz="2" w:space="0" w:color="000000"/>
              <w:bottom w:val="single" w:sz="2" w:space="0" w:color="000000"/>
              <w:right w:val="single" w:sz="6" w:space="0" w:color="000000"/>
            </w:tcBorders>
            <w:vAlign w:val="bottom"/>
          </w:tcPr>
          <w:p w:rsidR="008F4E89" w:rsidRPr="00F351D5" w:rsidRDefault="008F4E89" w:rsidP="008F4E89">
            <w:pPr>
              <w:keepNext/>
              <w:adjustRightInd w:val="0"/>
              <w:spacing w:before="60" w:after="60"/>
              <w:jc w:val="center"/>
              <w:rPr>
                <w:rFonts w:ascii="Calibri" w:eastAsia="Calibri" w:hAnsi="Calibri"/>
                <w:color w:val="000000"/>
              </w:rPr>
            </w:pPr>
            <w:r w:rsidRPr="00F351D5">
              <w:rPr>
                <w:rFonts w:ascii="Calibri" w:eastAsia="Calibri" w:hAnsi="Calibri"/>
                <w:color w:val="000000"/>
              </w:rPr>
              <w:t>846</w:t>
            </w:r>
          </w:p>
        </w:tc>
      </w:tr>
      <w:tr w:rsidR="008F4E89" w:rsidRPr="005B5E3A" w:rsidTr="008F4E89">
        <w:trPr>
          <w:cantSplit/>
          <w:trHeight w:val="138"/>
        </w:trPr>
        <w:tc>
          <w:tcPr>
            <w:tcW w:w="2825" w:type="dxa"/>
            <w:tcBorders>
              <w:top w:val="nil"/>
              <w:left w:val="single" w:sz="2" w:space="0" w:color="000000"/>
              <w:bottom w:val="single" w:sz="2" w:space="0" w:color="000000"/>
              <w:right w:val="nil"/>
            </w:tcBorders>
            <w:shd w:val="clear" w:color="auto" w:fill="BBBBBB"/>
            <w:vAlign w:val="center"/>
          </w:tcPr>
          <w:p w:rsidR="008F4E89" w:rsidRDefault="008F4E89" w:rsidP="008F4E89">
            <w:pPr>
              <w:keepNext/>
              <w:adjustRightInd w:val="0"/>
              <w:spacing w:before="60" w:after="60"/>
              <w:ind w:firstLine="4"/>
              <w:rPr>
                <w:rFonts w:eastAsia="Calibri"/>
                <w:b/>
                <w:bCs/>
                <w:i/>
                <w:iCs/>
                <w:color w:val="000000"/>
                <w:sz w:val="20"/>
                <w:szCs w:val="20"/>
              </w:rPr>
            </w:pPr>
            <w:r w:rsidRPr="00F27B17">
              <w:rPr>
                <w:rFonts w:eastAsia="Calibri"/>
                <w:bCs/>
                <w:color w:val="000000"/>
                <w:sz w:val="20"/>
                <w:szCs w:val="20"/>
              </w:rPr>
              <w:t xml:space="preserve">Change in </w:t>
            </w:r>
            <w:r>
              <w:rPr>
                <w:rFonts w:eastAsia="Calibri"/>
                <w:bCs/>
                <w:color w:val="000000"/>
                <w:sz w:val="20"/>
                <w:szCs w:val="20"/>
              </w:rPr>
              <w:t>w</w:t>
            </w:r>
            <w:r w:rsidRPr="00F27B17">
              <w:rPr>
                <w:rFonts w:eastAsia="Calibri"/>
                <w:bCs/>
                <w:color w:val="000000"/>
                <w:sz w:val="20"/>
                <w:szCs w:val="20"/>
              </w:rPr>
              <w:t xml:space="preserve">ell-spaced </w:t>
            </w:r>
            <w:r>
              <w:rPr>
                <w:rFonts w:eastAsia="Calibri"/>
                <w:bCs/>
                <w:color w:val="000000"/>
                <w:sz w:val="20"/>
                <w:szCs w:val="20"/>
              </w:rPr>
              <w:t>d</w:t>
            </w:r>
            <w:r w:rsidRPr="00F27B17">
              <w:rPr>
                <w:rFonts w:eastAsia="Calibri"/>
                <w:bCs/>
                <w:color w:val="000000"/>
                <w:sz w:val="20"/>
                <w:szCs w:val="20"/>
              </w:rPr>
              <w:t xml:space="preserve">ensity </w:t>
            </w:r>
            <w:r>
              <w:rPr>
                <w:rFonts w:eastAsia="Calibri"/>
                <w:bCs/>
                <w:color w:val="000000"/>
                <w:sz w:val="20"/>
                <w:szCs w:val="20"/>
              </w:rPr>
              <w:t>since declaration (stems per hectare)</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djustRightInd w:val="0"/>
              <w:spacing w:before="60" w:after="60"/>
              <w:ind w:left="-142"/>
              <w:jc w:val="center"/>
              <w:rPr>
                <w:rFonts w:eastAsia="Calibri"/>
                <w:color w:val="000000"/>
              </w:rPr>
            </w:pPr>
            <w:r w:rsidRPr="00F351D5">
              <w:rPr>
                <w:rFonts w:eastAsia="Calibri"/>
                <w:color w:val="000000"/>
              </w:rPr>
              <w:t>+6</w:t>
            </w:r>
            <w:r w:rsidRPr="00F351D5">
              <w:rPr>
                <w:rFonts w:eastAsia="Calibri"/>
                <w:color w:val="000000"/>
                <w:vertAlign w:val="superscript"/>
              </w:rPr>
              <w:t xml:space="preserve"> b</w:t>
            </w:r>
          </w:p>
        </w:tc>
        <w:tc>
          <w:tcPr>
            <w:tcW w:w="817" w:type="dxa"/>
            <w:tcBorders>
              <w:top w:val="nil"/>
              <w:left w:val="single" w:sz="2" w:space="0" w:color="000000"/>
              <w:bottom w:val="single" w:sz="2" w:space="0" w:color="000000"/>
              <w:right w:val="nil"/>
            </w:tcBorders>
            <w:vAlign w:val="bottom"/>
          </w:tcPr>
          <w:p w:rsidR="008F4E89" w:rsidRPr="008F4E89" w:rsidRDefault="008F4E89" w:rsidP="008F4E89">
            <w:pPr>
              <w:keepNext/>
              <w:autoSpaceDE w:val="0"/>
              <w:autoSpaceDN w:val="0"/>
              <w:adjustRightInd w:val="0"/>
              <w:spacing w:before="60" w:after="60"/>
              <w:ind w:left="-142"/>
              <w:jc w:val="center"/>
              <w:rPr>
                <w:rFonts w:eastAsia="Calibri"/>
                <w:color w:val="000000"/>
                <w:highlight w:val="yellow"/>
              </w:rPr>
            </w:pPr>
            <w:r w:rsidRPr="008F4E89">
              <w:rPr>
                <w:rFonts w:eastAsia="Calibri"/>
                <w:color w:val="000000"/>
                <w:highlight w:val="yellow"/>
              </w:rPr>
              <w:t>–154</w:t>
            </w:r>
          </w:p>
        </w:tc>
        <w:tc>
          <w:tcPr>
            <w:tcW w:w="955" w:type="dxa"/>
            <w:tcBorders>
              <w:top w:val="nil"/>
              <w:left w:val="single" w:sz="2" w:space="0" w:color="000000"/>
              <w:bottom w:val="single" w:sz="2" w:space="0" w:color="000000"/>
              <w:right w:val="nil"/>
            </w:tcBorders>
            <w:vAlign w:val="bottom"/>
          </w:tcPr>
          <w:p w:rsidR="008F4E89" w:rsidRPr="008F4E89" w:rsidRDefault="008F4E89" w:rsidP="008F4E89">
            <w:pPr>
              <w:keepNext/>
              <w:autoSpaceDE w:val="0"/>
              <w:autoSpaceDN w:val="0"/>
              <w:adjustRightInd w:val="0"/>
              <w:spacing w:before="60" w:after="60"/>
              <w:ind w:left="-142"/>
              <w:jc w:val="center"/>
              <w:rPr>
                <w:rFonts w:eastAsia="Calibri"/>
                <w:color w:val="000000"/>
                <w:highlight w:val="yellow"/>
              </w:rPr>
            </w:pPr>
            <w:r w:rsidRPr="008F4E89">
              <w:rPr>
                <w:rFonts w:eastAsia="Calibri"/>
                <w:color w:val="000000"/>
                <w:highlight w:val="yellow"/>
              </w:rPr>
              <w:t>–241</w:t>
            </w:r>
          </w:p>
        </w:tc>
        <w:tc>
          <w:tcPr>
            <w:tcW w:w="682" w:type="dxa"/>
            <w:tcBorders>
              <w:top w:val="nil"/>
              <w:left w:val="single" w:sz="2" w:space="0" w:color="000000"/>
              <w:bottom w:val="single" w:sz="2" w:space="0" w:color="000000"/>
              <w:right w:val="nil"/>
            </w:tcBorders>
            <w:vAlign w:val="bottom"/>
          </w:tcPr>
          <w:p w:rsidR="008F4E89" w:rsidRPr="008F4E89" w:rsidRDefault="008F4E89" w:rsidP="008F4E89">
            <w:pPr>
              <w:keepNext/>
              <w:autoSpaceDE w:val="0"/>
              <w:autoSpaceDN w:val="0"/>
              <w:adjustRightInd w:val="0"/>
              <w:spacing w:before="60" w:after="60"/>
              <w:ind w:left="-142"/>
              <w:jc w:val="center"/>
              <w:rPr>
                <w:rFonts w:eastAsia="Calibri"/>
                <w:color w:val="000000"/>
                <w:highlight w:val="yellow"/>
              </w:rPr>
            </w:pPr>
            <w:r w:rsidRPr="008F4E89">
              <w:rPr>
                <w:rFonts w:eastAsia="Calibri"/>
                <w:color w:val="000000"/>
                <w:highlight w:val="yellow"/>
              </w:rPr>
              <w:t>–351</w:t>
            </w:r>
          </w:p>
        </w:tc>
        <w:tc>
          <w:tcPr>
            <w:tcW w:w="818" w:type="dxa"/>
            <w:tcBorders>
              <w:top w:val="nil"/>
              <w:left w:val="single" w:sz="2" w:space="0" w:color="000000"/>
              <w:bottom w:val="single" w:sz="2" w:space="0" w:color="000000"/>
              <w:right w:val="nil"/>
            </w:tcBorders>
            <w:vAlign w:val="bottom"/>
          </w:tcPr>
          <w:p w:rsidR="008F4E89" w:rsidRPr="008F4E89" w:rsidRDefault="008F4E89" w:rsidP="008F4E89">
            <w:pPr>
              <w:keepNext/>
              <w:autoSpaceDE w:val="0"/>
              <w:autoSpaceDN w:val="0"/>
              <w:adjustRightInd w:val="0"/>
              <w:spacing w:before="60" w:after="60"/>
              <w:ind w:left="-142"/>
              <w:jc w:val="center"/>
              <w:rPr>
                <w:rFonts w:eastAsia="Calibri"/>
                <w:color w:val="000000"/>
                <w:highlight w:val="yellow"/>
              </w:rPr>
            </w:pPr>
            <w:r w:rsidRPr="008F4E89">
              <w:rPr>
                <w:rFonts w:eastAsia="Calibri"/>
                <w:color w:val="000000"/>
                <w:highlight w:val="yellow"/>
              </w:rPr>
              <w:t>–252</w:t>
            </w:r>
          </w:p>
        </w:tc>
        <w:tc>
          <w:tcPr>
            <w:tcW w:w="818" w:type="dxa"/>
            <w:tcBorders>
              <w:top w:val="nil"/>
              <w:left w:val="single" w:sz="2" w:space="0" w:color="000000"/>
              <w:bottom w:val="single" w:sz="2" w:space="0" w:color="000000"/>
              <w:right w:val="nil"/>
            </w:tcBorders>
            <w:vAlign w:val="bottom"/>
          </w:tcPr>
          <w:p w:rsidR="008F4E89" w:rsidRPr="008F4E89" w:rsidRDefault="008F4E89" w:rsidP="008F4E89">
            <w:pPr>
              <w:keepNext/>
              <w:autoSpaceDE w:val="0"/>
              <w:autoSpaceDN w:val="0"/>
              <w:adjustRightInd w:val="0"/>
              <w:spacing w:before="60" w:after="60"/>
              <w:ind w:left="-142"/>
              <w:jc w:val="center"/>
              <w:rPr>
                <w:rFonts w:eastAsia="Calibri"/>
                <w:color w:val="000000"/>
                <w:highlight w:val="yellow"/>
              </w:rPr>
            </w:pPr>
            <w:r w:rsidRPr="008F4E89">
              <w:rPr>
                <w:rFonts w:eastAsia="Calibri"/>
                <w:color w:val="000000"/>
                <w:highlight w:val="yellow"/>
              </w:rPr>
              <w:t>+35</w:t>
            </w:r>
            <w:r w:rsidRPr="008F4E89">
              <w:rPr>
                <w:rFonts w:eastAsia="Calibri"/>
                <w:color w:val="000000"/>
                <w:highlight w:val="yellow"/>
                <w:vertAlign w:val="superscript"/>
              </w:rPr>
              <w:t xml:space="preserve"> b</w:t>
            </w:r>
          </w:p>
        </w:tc>
        <w:tc>
          <w:tcPr>
            <w:tcW w:w="972" w:type="dxa"/>
            <w:tcBorders>
              <w:top w:val="nil"/>
              <w:left w:val="single" w:sz="2" w:space="0" w:color="000000"/>
              <w:bottom w:val="single" w:sz="2" w:space="0" w:color="000000"/>
              <w:right w:val="single" w:sz="6" w:space="0" w:color="000000"/>
            </w:tcBorders>
            <w:vAlign w:val="bottom"/>
          </w:tcPr>
          <w:p w:rsidR="008F4E89" w:rsidRPr="00F351D5" w:rsidRDefault="008F4E89" w:rsidP="008F4E89">
            <w:pPr>
              <w:keepNext/>
              <w:autoSpaceDE w:val="0"/>
              <w:autoSpaceDN w:val="0"/>
              <w:adjustRightInd w:val="0"/>
              <w:spacing w:before="60" w:after="60"/>
              <w:ind w:left="-142"/>
              <w:jc w:val="center"/>
              <w:rPr>
                <w:rFonts w:eastAsia="Calibri"/>
                <w:color w:val="000000"/>
              </w:rPr>
            </w:pPr>
            <w:r w:rsidRPr="00F351D5">
              <w:rPr>
                <w:rFonts w:eastAsia="Calibri"/>
                <w:color w:val="000000"/>
              </w:rPr>
              <w:t>–113</w:t>
            </w:r>
          </w:p>
        </w:tc>
      </w:tr>
      <w:tr w:rsidR="008F4E89" w:rsidRPr="005B5E3A" w:rsidTr="008F4E89">
        <w:trPr>
          <w:cantSplit/>
          <w:trHeight w:val="138"/>
        </w:trPr>
        <w:tc>
          <w:tcPr>
            <w:tcW w:w="2825" w:type="dxa"/>
            <w:tcBorders>
              <w:top w:val="nil"/>
              <w:left w:val="single" w:sz="2" w:space="0" w:color="000000"/>
              <w:bottom w:val="single" w:sz="2" w:space="0" w:color="000000"/>
              <w:right w:val="nil"/>
            </w:tcBorders>
            <w:shd w:val="clear" w:color="auto" w:fill="BBBBBB"/>
            <w:vAlign w:val="center"/>
          </w:tcPr>
          <w:p w:rsidR="008F4E89" w:rsidRDefault="008F4E89" w:rsidP="008F4E89">
            <w:pPr>
              <w:keepNext/>
              <w:autoSpaceDE w:val="0"/>
              <w:autoSpaceDN w:val="0"/>
              <w:adjustRightInd w:val="0"/>
              <w:spacing w:before="60" w:after="60"/>
              <w:ind w:firstLine="4"/>
              <w:rPr>
                <w:rFonts w:eastAsia="Calibri"/>
                <w:bCs/>
                <w:color w:val="000000"/>
                <w:sz w:val="20"/>
                <w:szCs w:val="20"/>
              </w:rPr>
            </w:pPr>
            <w:r w:rsidRPr="00F27B17">
              <w:rPr>
                <w:rFonts w:eastAsia="Calibri"/>
                <w:bCs/>
                <w:color w:val="000000"/>
                <w:sz w:val="20"/>
                <w:szCs w:val="20"/>
              </w:rPr>
              <w:t xml:space="preserve">Change in </w:t>
            </w:r>
            <w:r>
              <w:rPr>
                <w:rFonts w:eastAsia="Calibri"/>
                <w:bCs/>
                <w:color w:val="000000"/>
                <w:sz w:val="20"/>
                <w:szCs w:val="20"/>
              </w:rPr>
              <w:t>f</w:t>
            </w:r>
            <w:r w:rsidRPr="00F27B17">
              <w:rPr>
                <w:rFonts w:eastAsia="Calibri"/>
                <w:bCs/>
                <w:color w:val="000000"/>
                <w:sz w:val="20"/>
                <w:szCs w:val="20"/>
              </w:rPr>
              <w:t xml:space="preserve">ree-growing </w:t>
            </w:r>
            <w:r>
              <w:rPr>
                <w:rFonts w:eastAsia="Calibri"/>
                <w:bCs/>
                <w:color w:val="000000"/>
                <w:sz w:val="20"/>
                <w:szCs w:val="20"/>
              </w:rPr>
              <w:t>d</w:t>
            </w:r>
            <w:r w:rsidRPr="00F27B17">
              <w:rPr>
                <w:rFonts w:eastAsia="Calibri"/>
                <w:bCs/>
                <w:color w:val="000000"/>
                <w:sz w:val="20"/>
                <w:szCs w:val="20"/>
              </w:rPr>
              <w:t>ensity</w:t>
            </w:r>
            <w:r>
              <w:rPr>
                <w:rFonts w:eastAsia="Calibri"/>
                <w:bCs/>
                <w:color w:val="000000"/>
                <w:sz w:val="20"/>
                <w:szCs w:val="20"/>
              </w:rPr>
              <w:t xml:space="preserve"> since declaration (stems per hectare)</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utoSpaceDE w:val="0"/>
              <w:autoSpaceDN w:val="0"/>
              <w:adjustRightInd w:val="0"/>
              <w:spacing w:before="60" w:after="60"/>
              <w:ind w:left="-142"/>
              <w:jc w:val="center"/>
              <w:rPr>
                <w:rFonts w:eastAsia="Calibri"/>
                <w:color w:val="000000"/>
              </w:rPr>
            </w:pPr>
            <w:r w:rsidRPr="00F351D5">
              <w:rPr>
                <w:rFonts w:eastAsia="Calibri"/>
                <w:color w:val="000000"/>
              </w:rPr>
              <w:t>–80</w:t>
            </w:r>
          </w:p>
        </w:tc>
        <w:tc>
          <w:tcPr>
            <w:tcW w:w="817" w:type="dxa"/>
            <w:tcBorders>
              <w:top w:val="nil"/>
              <w:left w:val="single" w:sz="2" w:space="0" w:color="000000"/>
              <w:bottom w:val="single" w:sz="2" w:space="0" w:color="000000"/>
              <w:right w:val="nil"/>
            </w:tcBorders>
            <w:vAlign w:val="bottom"/>
          </w:tcPr>
          <w:p w:rsidR="008F4E89" w:rsidRPr="00F351D5" w:rsidRDefault="008F4E89" w:rsidP="008F4E89">
            <w:pPr>
              <w:keepNext/>
              <w:autoSpaceDE w:val="0"/>
              <w:autoSpaceDN w:val="0"/>
              <w:adjustRightInd w:val="0"/>
              <w:spacing w:before="60" w:after="60"/>
              <w:ind w:left="-142"/>
              <w:jc w:val="center"/>
              <w:rPr>
                <w:rFonts w:eastAsia="Calibri"/>
                <w:color w:val="000000"/>
              </w:rPr>
            </w:pPr>
            <w:r w:rsidRPr="00F351D5">
              <w:rPr>
                <w:rFonts w:eastAsia="Calibri"/>
                <w:color w:val="000000"/>
              </w:rPr>
              <w:t>–33</w:t>
            </w:r>
            <w:r w:rsidRPr="00F351D5">
              <w:rPr>
                <w:rFonts w:eastAsia="Calibri"/>
                <w:color w:val="000000"/>
                <w:vertAlign w:val="superscript"/>
              </w:rPr>
              <w:t xml:space="preserve"> b</w:t>
            </w:r>
          </w:p>
        </w:tc>
        <w:tc>
          <w:tcPr>
            <w:tcW w:w="955" w:type="dxa"/>
            <w:tcBorders>
              <w:top w:val="nil"/>
              <w:left w:val="single" w:sz="2" w:space="0" w:color="000000"/>
              <w:bottom w:val="single" w:sz="2" w:space="0" w:color="000000"/>
              <w:right w:val="nil"/>
            </w:tcBorders>
            <w:vAlign w:val="bottom"/>
          </w:tcPr>
          <w:p w:rsidR="008F4E89" w:rsidRPr="00F351D5" w:rsidRDefault="008F4E89" w:rsidP="008F4E89">
            <w:pPr>
              <w:keepNext/>
              <w:autoSpaceDE w:val="0"/>
              <w:autoSpaceDN w:val="0"/>
              <w:adjustRightInd w:val="0"/>
              <w:spacing w:before="60" w:after="60"/>
              <w:ind w:left="-142"/>
              <w:jc w:val="center"/>
              <w:rPr>
                <w:rFonts w:eastAsia="Calibri"/>
                <w:color w:val="000000"/>
              </w:rPr>
            </w:pPr>
            <w:r w:rsidRPr="00F351D5">
              <w:rPr>
                <w:rFonts w:eastAsia="Calibri"/>
                <w:color w:val="000000"/>
              </w:rPr>
              <w:t>–138</w:t>
            </w:r>
          </w:p>
        </w:tc>
        <w:tc>
          <w:tcPr>
            <w:tcW w:w="682" w:type="dxa"/>
            <w:tcBorders>
              <w:top w:val="nil"/>
              <w:left w:val="single" w:sz="2" w:space="0" w:color="000000"/>
              <w:bottom w:val="single" w:sz="2" w:space="0" w:color="000000"/>
              <w:right w:val="nil"/>
            </w:tcBorders>
            <w:vAlign w:val="bottom"/>
          </w:tcPr>
          <w:p w:rsidR="008F4E89" w:rsidRPr="00F351D5" w:rsidRDefault="008F4E89" w:rsidP="008F4E89">
            <w:pPr>
              <w:keepNext/>
              <w:autoSpaceDE w:val="0"/>
              <w:autoSpaceDN w:val="0"/>
              <w:adjustRightInd w:val="0"/>
              <w:spacing w:before="60" w:after="60"/>
              <w:ind w:left="-142"/>
              <w:jc w:val="center"/>
              <w:rPr>
                <w:rFonts w:eastAsia="Calibri"/>
                <w:color w:val="000000"/>
              </w:rPr>
            </w:pPr>
            <w:r w:rsidRPr="00F351D5">
              <w:rPr>
                <w:rFonts w:eastAsia="Calibri"/>
                <w:color w:val="000000"/>
              </w:rPr>
              <w:t>–116</w:t>
            </w:r>
            <w:r w:rsidRPr="00F351D5">
              <w:rPr>
                <w:rFonts w:eastAsia="Calibri"/>
                <w:color w:val="000000"/>
                <w:vertAlign w:val="superscript"/>
              </w:rPr>
              <w:t xml:space="preserve"> b</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utoSpaceDE w:val="0"/>
              <w:autoSpaceDN w:val="0"/>
              <w:adjustRightInd w:val="0"/>
              <w:spacing w:before="60" w:after="60"/>
              <w:ind w:left="-142"/>
              <w:jc w:val="center"/>
              <w:rPr>
                <w:rFonts w:eastAsia="Calibri"/>
                <w:color w:val="000000"/>
              </w:rPr>
            </w:pPr>
            <w:r w:rsidRPr="00F351D5">
              <w:rPr>
                <w:rFonts w:eastAsia="Calibri"/>
                <w:color w:val="000000"/>
              </w:rPr>
              <w:t>–188</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utoSpaceDE w:val="0"/>
              <w:autoSpaceDN w:val="0"/>
              <w:adjustRightInd w:val="0"/>
              <w:spacing w:before="60" w:after="60"/>
              <w:ind w:left="-142"/>
              <w:jc w:val="center"/>
              <w:rPr>
                <w:rFonts w:eastAsia="Calibri"/>
                <w:color w:val="000000"/>
              </w:rPr>
            </w:pPr>
            <w:r w:rsidRPr="00F351D5">
              <w:rPr>
                <w:rFonts w:eastAsia="Calibri"/>
                <w:color w:val="000000"/>
              </w:rPr>
              <w:t>+80</w:t>
            </w:r>
          </w:p>
        </w:tc>
        <w:tc>
          <w:tcPr>
            <w:tcW w:w="972" w:type="dxa"/>
            <w:tcBorders>
              <w:top w:val="nil"/>
              <w:left w:val="single" w:sz="2" w:space="0" w:color="000000"/>
              <w:bottom w:val="single" w:sz="2" w:space="0" w:color="000000"/>
              <w:right w:val="single" w:sz="6" w:space="0" w:color="000000"/>
            </w:tcBorders>
            <w:vAlign w:val="bottom"/>
          </w:tcPr>
          <w:p w:rsidR="008F4E89" w:rsidRPr="00F351D5" w:rsidRDefault="008F4E89" w:rsidP="008F4E89">
            <w:pPr>
              <w:keepNext/>
              <w:autoSpaceDE w:val="0"/>
              <w:autoSpaceDN w:val="0"/>
              <w:adjustRightInd w:val="0"/>
              <w:spacing w:before="60" w:after="60"/>
              <w:ind w:left="-142"/>
              <w:jc w:val="center"/>
              <w:rPr>
                <w:rFonts w:eastAsia="Calibri"/>
                <w:color w:val="000000"/>
              </w:rPr>
            </w:pPr>
            <w:r w:rsidRPr="00F351D5">
              <w:rPr>
                <w:rFonts w:eastAsia="Calibri"/>
                <w:color w:val="000000"/>
              </w:rPr>
              <w:t>–63</w:t>
            </w:r>
          </w:p>
        </w:tc>
      </w:tr>
      <w:tr w:rsidR="008F4E89" w:rsidRPr="005B5E3A" w:rsidTr="008F4E89">
        <w:trPr>
          <w:cantSplit/>
          <w:trHeight w:val="138"/>
        </w:trPr>
        <w:tc>
          <w:tcPr>
            <w:tcW w:w="2825" w:type="dxa"/>
            <w:tcBorders>
              <w:top w:val="nil"/>
              <w:left w:val="single" w:sz="2" w:space="0" w:color="000000"/>
              <w:bottom w:val="single" w:sz="2" w:space="0" w:color="000000"/>
              <w:right w:val="nil"/>
            </w:tcBorders>
            <w:shd w:val="clear" w:color="auto" w:fill="BBBBBB"/>
            <w:vAlign w:val="center"/>
          </w:tcPr>
          <w:p w:rsidR="008F4E89" w:rsidRDefault="008F4E89" w:rsidP="008F4E89">
            <w:pPr>
              <w:keepNext/>
              <w:autoSpaceDE w:val="0"/>
              <w:autoSpaceDN w:val="0"/>
              <w:adjustRightInd w:val="0"/>
              <w:spacing w:before="60" w:after="60"/>
              <w:ind w:firstLine="4"/>
              <w:rPr>
                <w:rFonts w:eastAsia="Calibri"/>
                <w:b/>
                <w:bCs/>
                <w:i/>
                <w:iCs/>
                <w:color w:val="000000"/>
                <w:sz w:val="20"/>
                <w:szCs w:val="20"/>
              </w:rPr>
            </w:pPr>
            <w:r>
              <w:rPr>
                <w:rFonts w:eastAsia="Calibri"/>
                <w:bCs/>
                <w:color w:val="000000"/>
                <w:sz w:val="20"/>
                <w:szCs w:val="20"/>
              </w:rPr>
              <w:t>Numbers of stands with decreasing/increasing f</w:t>
            </w:r>
            <w:r w:rsidRPr="00F27B17">
              <w:rPr>
                <w:rFonts w:eastAsia="Calibri"/>
                <w:bCs/>
                <w:color w:val="000000"/>
                <w:sz w:val="20"/>
                <w:szCs w:val="20"/>
              </w:rPr>
              <w:t>ree-growing</w:t>
            </w:r>
            <w:r>
              <w:rPr>
                <w:rFonts w:eastAsia="Calibri"/>
                <w:bCs/>
                <w:color w:val="000000"/>
                <w:sz w:val="20"/>
                <w:szCs w:val="20"/>
              </w:rPr>
              <w:t xml:space="preserve"> density</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utoSpaceDE w:val="0"/>
              <w:autoSpaceDN w:val="0"/>
              <w:adjustRightInd w:val="0"/>
              <w:spacing w:before="60" w:after="60"/>
              <w:ind w:left="-142"/>
              <w:jc w:val="center"/>
              <w:rPr>
                <w:rFonts w:eastAsia="Calibri"/>
                <w:color w:val="000000"/>
              </w:rPr>
            </w:pPr>
            <w:r w:rsidRPr="00F351D5">
              <w:rPr>
                <w:rFonts w:eastAsia="Calibri"/>
                <w:color w:val="000000"/>
              </w:rPr>
              <w:t>37/21</w:t>
            </w:r>
          </w:p>
        </w:tc>
        <w:tc>
          <w:tcPr>
            <w:tcW w:w="817" w:type="dxa"/>
            <w:tcBorders>
              <w:top w:val="nil"/>
              <w:left w:val="single" w:sz="2" w:space="0" w:color="000000"/>
              <w:bottom w:val="single" w:sz="2" w:space="0" w:color="000000"/>
              <w:right w:val="nil"/>
            </w:tcBorders>
            <w:vAlign w:val="bottom"/>
          </w:tcPr>
          <w:p w:rsidR="008F4E89" w:rsidRPr="00F351D5" w:rsidRDefault="008F4E89" w:rsidP="008F4E89">
            <w:pPr>
              <w:keepNext/>
              <w:autoSpaceDE w:val="0"/>
              <w:autoSpaceDN w:val="0"/>
              <w:adjustRightInd w:val="0"/>
              <w:spacing w:before="60" w:after="60"/>
              <w:ind w:left="-142"/>
              <w:jc w:val="center"/>
              <w:rPr>
                <w:rFonts w:eastAsia="Calibri"/>
                <w:color w:val="000000"/>
              </w:rPr>
            </w:pPr>
            <w:r w:rsidRPr="00F351D5">
              <w:rPr>
                <w:rFonts w:eastAsia="Calibri"/>
                <w:color w:val="000000"/>
              </w:rPr>
              <w:t>24/20</w:t>
            </w:r>
          </w:p>
        </w:tc>
        <w:tc>
          <w:tcPr>
            <w:tcW w:w="955" w:type="dxa"/>
            <w:tcBorders>
              <w:top w:val="nil"/>
              <w:left w:val="single" w:sz="2" w:space="0" w:color="000000"/>
              <w:bottom w:val="single" w:sz="2" w:space="0" w:color="000000"/>
              <w:right w:val="nil"/>
            </w:tcBorders>
            <w:vAlign w:val="bottom"/>
          </w:tcPr>
          <w:p w:rsidR="008F4E89" w:rsidRPr="00F351D5" w:rsidRDefault="008F4E89" w:rsidP="008F4E89">
            <w:pPr>
              <w:keepNext/>
              <w:autoSpaceDE w:val="0"/>
              <w:autoSpaceDN w:val="0"/>
              <w:adjustRightInd w:val="0"/>
              <w:spacing w:before="60" w:after="60"/>
              <w:ind w:left="-142"/>
              <w:jc w:val="center"/>
              <w:rPr>
                <w:rFonts w:eastAsia="Calibri"/>
                <w:color w:val="000000"/>
              </w:rPr>
            </w:pPr>
            <w:r w:rsidRPr="00F351D5">
              <w:rPr>
                <w:rFonts w:eastAsia="Calibri"/>
                <w:color w:val="000000"/>
              </w:rPr>
              <w:t>56/18</w:t>
            </w:r>
          </w:p>
        </w:tc>
        <w:tc>
          <w:tcPr>
            <w:tcW w:w="682" w:type="dxa"/>
            <w:tcBorders>
              <w:top w:val="nil"/>
              <w:left w:val="single" w:sz="2" w:space="0" w:color="000000"/>
              <w:bottom w:val="single" w:sz="2" w:space="0" w:color="000000"/>
              <w:right w:val="nil"/>
            </w:tcBorders>
            <w:vAlign w:val="bottom"/>
          </w:tcPr>
          <w:p w:rsidR="008F4E89" w:rsidRPr="00F351D5" w:rsidRDefault="008F4E89" w:rsidP="008F4E89">
            <w:pPr>
              <w:keepNext/>
              <w:autoSpaceDE w:val="0"/>
              <w:autoSpaceDN w:val="0"/>
              <w:adjustRightInd w:val="0"/>
              <w:spacing w:before="60" w:after="60"/>
              <w:ind w:left="-142"/>
              <w:jc w:val="center"/>
              <w:rPr>
                <w:rFonts w:eastAsia="Calibri"/>
                <w:color w:val="000000"/>
              </w:rPr>
            </w:pPr>
            <w:r w:rsidRPr="00F351D5">
              <w:rPr>
                <w:rFonts w:eastAsia="Calibri"/>
                <w:color w:val="000000"/>
              </w:rPr>
              <w:t>2/1</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utoSpaceDE w:val="0"/>
              <w:autoSpaceDN w:val="0"/>
              <w:adjustRightInd w:val="0"/>
              <w:spacing w:before="60" w:after="60"/>
              <w:ind w:left="-142"/>
              <w:jc w:val="center"/>
              <w:rPr>
                <w:rFonts w:eastAsia="Calibri"/>
                <w:color w:val="000000"/>
              </w:rPr>
            </w:pPr>
            <w:r w:rsidRPr="00F351D5">
              <w:rPr>
                <w:rFonts w:eastAsia="Calibri"/>
                <w:color w:val="000000"/>
              </w:rPr>
              <w:t>20/7</w:t>
            </w:r>
          </w:p>
        </w:tc>
        <w:tc>
          <w:tcPr>
            <w:tcW w:w="818" w:type="dxa"/>
            <w:tcBorders>
              <w:top w:val="nil"/>
              <w:left w:val="single" w:sz="2" w:space="0" w:color="000000"/>
              <w:bottom w:val="single" w:sz="2" w:space="0" w:color="000000"/>
              <w:right w:val="nil"/>
            </w:tcBorders>
            <w:vAlign w:val="bottom"/>
          </w:tcPr>
          <w:p w:rsidR="008F4E89" w:rsidRPr="00F351D5" w:rsidRDefault="008F4E89" w:rsidP="008F4E89">
            <w:pPr>
              <w:keepNext/>
              <w:autoSpaceDE w:val="0"/>
              <w:autoSpaceDN w:val="0"/>
              <w:adjustRightInd w:val="0"/>
              <w:spacing w:before="60" w:after="60"/>
              <w:ind w:left="-142"/>
              <w:jc w:val="center"/>
              <w:rPr>
                <w:rFonts w:eastAsia="Calibri"/>
                <w:color w:val="000000"/>
              </w:rPr>
            </w:pPr>
            <w:r w:rsidRPr="00F351D5">
              <w:rPr>
                <w:rFonts w:eastAsia="Calibri"/>
                <w:color w:val="000000"/>
              </w:rPr>
              <w:t>19/41</w:t>
            </w:r>
          </w:p>
        </w:tc>
        <w:tc>
          <w:tcPr>
            <w:tcW w:w="972" w:type="dxa"/>
            <w:tcBorders>
              <w:top w:val="nil"/>
              <w:left w:val="single" w:sz="2" w:space="0" w:color="000000"/>
              <w:bottom w:val="single" w:sz="2" w:space="0" w:color="000000"/>
              <w:right w:val="single" w:sz="6" w:space="0" w:color="000000"/>
            </w:tcBorders>
            <w:vAlign w:val="bottom"/>
          </w:tcPr>
          <w:p w:rsidR="008F4E89" w:rsidRPr="00F351D5" w:rsidRDefault="008F4E89" w:rsidP="008F4E89">
            <w:pPr>
              <w:keepNext/>
              <w:autoSpaceDE w:val="0"/>
              <w:autoSpaceDN w:val="0"/>
              <w:adjustRightInd w:val="0"/>
              <w:spacing w:before="60" w:after="60"/>
              <w:ind w:left="-142"/>
              <w:jc w:val="center"/>
              <w:rPr>
                <w:rFonts w:eastAsia="Calibri"/>
                <w:color w:val="000000"/>
              </w:rPr>
            </w:pPr>
            <w:r w:rsidRPr="00F351D5">
              <w:rPr>
                <w:rFonts w:eastAsia="Calibri"/>
                <w:color w:val="000000"/>
              </w:rPr>
              <w:t>158/108</w:t>
            </w:r>
          </w:p>
        </w:tc>
      </w:tr>
      <w:tr w:rsidR="008F4E89" w:rsidRPr="005B5E3A" w:rsidTr="008F4E89">
        <w:trPr>
          <w:cantSplit/>
          <w:trHeight w:val="563"/>
        </w:trPr>
        <w:tc>
          <w:tcPr>
            <w:tcW w:w="8705" w:type="dxa"/>
            <w:gridSpan w:val="8"/>
            <w:tcBorders>
              <w:top w:val="single" w:sz="4" w:space="0" w:color="auto"/>
              <w:left w:val="single" w:sz="2" w:space="0" w:color="000000"/>
              <w:bottom w:val="single" w:sz="6" w:space="0" w:color="000000"/>
              <w:right w:val="single" w:sz="6" w:space="0" w:color="000000"/>
            </w:tcBorders>
            <w:shd w:val="clear" w:color="auto" w:fill="BBBBBB"/>
            <w:vAlign w:val="center"/>
          </w:tcPr>
          <w:p w:rsidR="008F4E89" w:rsidRDefault="008F4E89" w:rsidP="008F4E89">
            <w:pPr>
              <w:keepNext/>
              <w:autoSpaceDE w:val="0"/>
              <w:autoSpaceDN w:val="0"/>
              <w:adjustRightInd w:val="0"/>
              <w:spacing w:before="60" w:after="60"/>
              <w:rPr>
                <w:rFonts w:eastAsia="Calibri"/>
                <w:color w:val="000000"/>
                <w:sz w:val="20"/>
                <w:szCs w:val="20"/>
              </w:rPr>
            </w:pPr>
            <w:proofErr w:type="gramStart"/>
            <w:r w:rsidRPr="002435AF">
              <w:rPr>
                <w:rFonts w:eastAsia="Calibri"/>
                <w:color w:val="000000"/>
                <w:sz w:val="20"/>
                <w:szCs w:val="20"/>
                <w:vertAlign w:val="superscript"/>
              </w:rPr>
              <w:t>a</w:t>
            </w:r>
            <w:proofErr w:type="gramEnd"/>
            <w:r>
              <w:rPr>
                <w:rFonts w:eastAsia="Calibri"/>
                <w:color w:val="000000"/>
                <w:sz w:val="20"/>
                <w:szCs w:val="20"/>
              </w:rPr>
              <w:t xml:space="preserve"> </w:t>
            </w:r>
            <w:r w:rsidRPr="00F27B17">
              <w:rPr>
                <w:rFonts w:eastAsia="Calibri"/>
                <w:color w:val="000000"/>
                <w:sz w:val="20"/>
                <w:szCs w:val="20"/>
              </w:rPr>
              <w:t xml:space="preserve">These </w:t>
            </w:r>
            <w:r>
              <w:rPr>
                <w:rFonts w:eastAsia="Calibri"/>
                <w:color w:val="000000"/>
                <w:sz w:val="20"/>
                <w:szCs w:val="20"/>
              </w:rPr>
              <w:t xml:space="preserve">data </w:t>
            </w:r>
            <w:r w:rsidRPr="00F27B17">
              <w:rPr>
                <w:rFonts w:eastAsia="Calibri"/>
                <w:color w:val="000000"/>
                <w:sz w:val="20"/>
                <w:szCs w:val="20"/>
              </w:rPr>
              <w:t xml:space="preserve">all </w:t>
            </w:r>
            <w:r>
              <w:rPr>
                <w:rFonts w:eastAsia="Calibri"/>
                <w:color w:val="000000"/>
                <w:sz w:val="20"/>
                <w:szCs w:val="20"/>
              </w:rPr>
              <w:t xml:space="preserve">represent </w:t>
            </w:r>
            <w:r w:rsidRPr="00F27B17">
              <w:rPr>
                <w:rFonts w:eastAsia="Calibri"/>
                <w:color w:val="000000"/>
                <w:sz w:val="20"/>
                <w:szCs w:val="20"/>
              </w:rPr>
              <w:t xml:space="preserve">simple means. Positive differences (+) </w:t>
            </w:r>
            <w:r>
              <w:rPr>
                <w:rFonts w:eastAsia="Calibri"/>
                <w:color w:val="000000"/>
                <w:sz w:val="20"/>
                <w:szCs w:val="20"/>
              </w:rPr>
              <w:t>signify</w:t>
            </w:r>
            <w:r w:rsidRPr="00F27B17">
              <w:rPr>
                <w:rFonts w:eastAsia="Calibri"/>
                <w:color w:val="000000"/>
                <w:sz w:val="20"/>
                <w:szCs w:val="20"/>
              </w:rPr>
              <w:t xml:space="preserve"> that the density has increased from declaration to time of survey</w:t>
            </w:r>
            <w:r>
              <w:rPr>
                <w:rFonts w:eastAsia="Calibri"/>
                <w:color w:val="000000"/>
                <w:sz w:val="20"/>
                <w:szCs w:val="20"/>
              </w:rPr>
              <w:t>;</w:t>
            </w:r>
            <w:r w:rsidRPr="00F27B17">
              <w:rPr>
                <w:rFonts w:eastAsia="Calibri"/>
                <w:color w:val="000000"/>
                <w:sz w:val="20"/>
                <w:szCs w:val="20"/>
              </w:rPr>
              <w:t xml:space="preserve"> negative </w:t>
            </w:r>
            <w:r>
              <w:rPr>
                <w:rFonts w:eastAsia="Calibri"/>
                <w:color w:val="000000"/>
                <w:sz w:val="20"/>
                <w:szCs w:val="20"/>
              </w:rPr>
              <w:t>differences</w:t>
            </w:r>
            <w:r w:rsidRPr="00F27B17">
              <w:rPr>
                <w:rFonts w:eastAsia="Calibri"/>
                <w:color w:val="000000"/>
                <w:sz w:val="20"/>
                <w:szCs w:val="20"/>
              </w:rPr>
              <w:t xml:space="preserve"> (</w:t>
            </w:r>
            <w:r>
              <w:rPr>
                <w:rFonts w:eastAsia="Calibri"/>
                <w:color w:val="000000"/>
                <w:sz w:val="20"/>
                <w:szCs w:val="20"/>
              </w:rPr>
              <w:t>–</w:t>
            </w:r>
            <w:r w:rsidRPr="00F27B17">
              <w:rPr>
                <w:rFonts w:eastAsia="Calibri"/>
                <w:color w:val="000000"/>
                <w:sz w:val="20"/>
                <w:szCs w:val="20"/>
              </w:rPr>
              <w:t xml:space="preserve">) </w:t>
            </w:r>
            <w:r>
              <w:rPr>
                <w:rFonts w:eastAsia="Calibri"/>
                <w:color w:val="000000"/>
                <w:sz w:val="20"/>
                <w:szCs w:val="20"/>
              </w:rPr>
              <w:t>signify</w:t>
            </w:r>
            <w:r w:rsidRPr="00F27B17">
              <w:rPr>
                <w:rFonts w:eastAsia="Calibri"/>
                <w:color w:val="000000"/>
                <w:sz w:val="20"/>
                <w:szCs w:val="20"/>
              </w:rPr>
              <w:t xml:space="preserve"> that the total density has decreased.</w:t>
            </w:r>
          </w:p>
          <w:p w:rsidR="008F4E89" w:rsidRPr="002B7468" w:rsidRDefault="008F4E89" w:rsidP="008F4E89">
            <w:pPr>
              <w:keepNext/>
              <w:autoSpaceDE w:val="0"/>
              <w:autoSpaceDN w:val="0"/>
              <w:adjustRightInd w:val="0"/>
              <w:spacing w:before="60" w:after="60"/>
              <w:rPr>
                <w:rFonts w:eastAsia="Calibri"/>
                <w:color w:val="000000"/>
                <w:sz w:val="20"/>
                <w:szCs w:val="20"/>
              </w:rPr>
            </w:pPr>
            <w:proofErr w:type="gramStart"/>
            <w:r w:rsidRPr="002435AF">
              <w:rPr>
                <w:rFonts w:eastAsia="Calibri"/>
                <w:color w:val="000000"/>
                <w:sz w:val="20"/>
                <w:szCs w:val="20"/>
                <w:vertAlign w:val="superscript"/>
              </w:rPr>
              <w:t>b</w:t>
            </w:r>
            <w:proofErr w:type="gramEnd"/>
            <w:r>
              <w:rPr>
                <w:rFonts w:eastAsia="Calibri"/>
                <w:color w:val="000000"/>
                <w:sz w:val="20"/>
                <w:szCs w:val="20"/>
              </w:rPr>
              <w:t xml:space="preserve"> </w:t>
            </w:r>
            <w:r w:rsidRPr="00F27B17">
              <w:rPr>
                <w:rFonts w:eastAsia="Calibri"/>
                <w:bCs/>
                <w:color w:val="000000"/>
                <w:sz w:val="20"/>
                <w:szCs w:val="20"/>
              </w:rPr>
              <w:t xml:space="preserve">Value not statistically </w:t>
            </w:r>
            <w:r>
              <w:rPr>
                <w:rFonts w:eastAsia="Calibri"/>
                <w:bCs/>
                <w:color w:val="000000"/>
                <w:sz w:val="20"/>
                <w:szCs w:val="20"/>
              </w:rPr>
              <w:t xml:space="preserve">different </w:t>
            </w:r>
            <w:r w:rsidRPr="00F27B17">
              <w:rPr>
                <w:rFonts w:eastAsia="Calibri"/>
                <w:bCs/>
                <w:color w:val="000000"/>
                <w:sz w:val="20"/>
                <w:szCs w:val="20"/>
              </w:rPr>
              <w:t>than zero</w:t>
            </w:r>
            <w:r>
              <w:rPr>
                <w:rFonts w:eastAsia="Calibri"/>
                <w:bCs/>
                <w:color w:val="000000"/>
                <w:sz w:val="20"/>
                <w:szCs w:val="20"/>
              </w:rPr>
              <w:t xml:space="preserve"> (i.e., no statistically significant change)</w:t>
            </w:r>
            <w:r w:rsidRPr="00F27B17">
              <w:rPr>
                <w:rFonts w:eastAsia="Calibri"/>
                <w:bCs/>
                <w:color w:val="000000"/>
                <w:sz w:val="20"/>
                <w:szCs w:val="20"/>
              </w:rPr>
              <w:t>.</w:t>
            </w:r>
          </w:p>
        </w:tc>
      </w:tr>
    </w:tbl>
    <w:p w:rsidR="008F4E89" w:rsidRDefault="008F4E89" w:rsidP="003127C9">
      <w:pPr>
        <w:rPr>
          <w:rFonts w:ascii="Verdana" w:hAnsi="Verdana"/>
          <w:b/>
          <w:sz w:val="24"/>
          <w:szCs w:val="24"/>
        </w:rPr>
      </w:pPr>
    </w:p>
    <w:p w:rsidR="008F4E89" w:rsidRDefault="008F4E89">
      <w:pPr>
        <w:rPr>
          <w:rFonts w:ascii="Verdana" w:hAnsi="Verdana"/>
          <w:b/>
          <w:sz w:val="24"/>
          <w:szCs w:val="24"/>
        </w:rPr>
      </w:pPr>
      <w:r>
        <w:rPr>
          <w:rFonts w:ascii="Verdana" w:hAnsi="Verdana"/>
          <w:b/>
          <w:sz w:val="24"/>
          <w:szCs w:val="24"/>
        </w:rPr>
        <w:br w:type="page"/>
      </w:r>
    </w:p>
    <w:p w:rsidR="00424F23" w:rsidRPr="003127C9" w:rsidRDefault="00424F23" w:rsidP="00424F23">
      <w:pPr>
        <w:ind w:left="-284"/>
        <w:rPr>
          <w:rFonts w:ascii="Calibri" w:eastAsia="Times New Roman" w:hAnsi="Calibri" w:cs="Times New Roman"/>
          <w:lang w:eastAsia="en-CA"/>
        </w:rPr>
      </w:pPr>
      <w:r>
        <w:rPr>
          <w:rFonts w:ascii="Verdana" w:hAnsi="Verdana"/>
          <w:sz w:val="24"/>
          <w:szCs w:val="24"/>
        </w:rPr>
        <w:t>So what is being planted?</w:t>
      </w:r>
      <w:r w:rsidRPr="003127C9">
        <w:rPr>
          <w:rFonts w:ascii="Calibri" w:hAnsi="Calibri"/>
        </w:rPr>
        <w:t xml:space="preserve"> </w:t>
      </w:r>
      <w:r>
        <w:rPr>
          <w:rFonts w:ascii="Calibri" w:hAnsi="Calibri"/>
        </w:rPr>
        <w:t>(</w:t>
      </w:r>
      <w:r w:rsidRPr="003127C9">
        <w:rPr>
          <w:rFonts w:ascii="Calibri" w:eastAsia="Times New Roman" w:hAnsi="Calibri" w:cs="Times New Roman"/>
          <w:lang w:eastAsia="en-CA"/>
        </w:rPr>
        <w:t>Data source: RESULTS as of May 30, 2012, Prepared by Mei-Ching Tsoi</w:t>
      </w:r>
      <w:r>
        <w:rPr>
          <w:rFonts w:ascii="Calibri" w:eastAsia="Times New Roman" w:hAnsi="Calibri" w:cs="Times New Roman"/>
          <w:lang w:eastAsia="en-CA"/>
        </w:rPr>
        <w:t>)</w:t>
      </w:r>
    </w:p>
    <w:tbl>
      <w:tblPr>
        <w:tblpPr w:leftFromText="180" w:rightFromText="180" w:vertAnchor="page" w:horzAnchor="margin" w:tblpXSpec="center" w:tblpY="2146"/>
        <w:tblW w:w="10283" w:type="dxa"/>
        <w:tblLook w:val="04A0"/>
      </w:tblPr>
      <w:tblGrid>
        <w:gridCol w:w="1809"/>
        <w:gridCol w:w="920"/>
        <w:gridCol w:w="719"/>
        <w:gridCol w:w="719"/>
        <w:gridCol w:w="719"/>
        <w:gridCol w:w="719"/>
        <w:gridCol w:w="719"/>
        <w:gridCol w:w="719"/>
        <w:gridCol w:w="719"/>
        <w:gridCol w:w="719"/>
        <w:gridCol w:w="719"/>
        <w:gridCol w:w="1083"/>
      </w:tblGrid>
      <w:tr w:rsidR="00424F23" w:rsidTr="00424F23">
        <w:trPr>
          <w:trHeight w:val="252"/>
        </w:trPr>
        <w:tc>
          <w:tcPr>
            <w:tcW w:w="1809" w:type="dxa"/>
            <w:tcBorders>
              <w:top w:val="nil"/>
              <w:left w:val="nil"/>
              <w:bottom w:val="nil"/>
              <w:right w:val="nil"/>
            </w:tcBorders>
            <w:shd w:val="clear" w:color="DBE5F1" w:fill="DBE5F1"/>
            <w:noWrap/>
            <w:vAlign w:val="bottom"/>
            <w:hideMark/>
          </w:tcPr>
          <w:p w:rsidR="00424F23" w:rsidRDefault="00424F23" w:rsidP="00424F23">
            <w:pPr>
              <w:ind w:right="-107"/>
              <w:rPr>
                <w:rFonts w:ascii="Calibri" w:hAnsi="Calibri"/>
                <w:b/>
                <w:bCs/>
                <w:color w:val="000000"/>
              </w:rPr>
            </w:pPr>
            <w:r>
              <w:rPr>
                <w:rFonts w:ascii="Calibri" w:hAnsi="Calibri"/>
                <w:b/>
                <w:bCs/>
                <w:color w:val="000000"/>
              </w:rPr>
              <w:t>Average of Planting Density</w:t>
            </w:r>
          </w:p>
        </w:tc>
        <w:tc>
          <w:tcPr>
            <w:tcW w:w="920" w:type="dxa"/>
            <w:tcBorders>
              <w:top w:val="nil"/>
              <w:left w:val="nil"/>
              <w:bottom w:val="nil"/>
              <w:right w:val="nil"/>
            </w:tcBorders>
            <w:shd w:val="clear" w:color="DBE5F1" w:fill="DBE5F1"/>
            <w:noWrap/>
            <w:vAlign w:val="bottom"/>
            <w:hideMark/>
          </w:tcPr>
          <w:p w:rsidR="00424F23" w:rsidRDefault="00424F23" w:rsidP="00424F23">
            <w:pPr>
              <w:rPr>
                <w:rFonts w:ascii="Calibri" w:hAnsi="Calibri"/>
                <w:b/>
                <w:bCs/>
                <w:color w:val="000000"/>
              </w:rPr>
            </w:pPr>
            <w:r>
              <w:rPr>
                <w:rFonts w:ascii="Calibri" w:hAnsi="Calibri"/>
                <w:b/>
                <w:bCs/>
                <w:color w:val="000000"/>
              </w:rPr>
              <w:t>Column Labels</w:t>
            </w:r>
          </w:p>
        </w:tc>
        <w:tc>
          <w:tcPr>
            <w:tcW w:w="719" w:type="dxa"/>
            <w:tcBorders>
              <w:top w:val="nil"/>
              <w:left w:val="nil"/>
              <w:bottom w:val="nil"/>
              <w:right w:val="nil"/>
            </w:tcBorders>
            <w:shd w:val="clear" w:color="DBE5F1" w:fill="DBE5F1"/>
            <w:noWrap/>
            <w:vAlign w:val="bottom"/>
            <w:hideMark/>
          </w:tcPr>
          <w:p w:rsidR="00424F23" w:rsidRDefault="00424F23" w:rsidP="00424F23">
            <w:pPr>
              <w:rPr>
                <w:rFonts w:ascii="Calibri" w:hAnsi="Calibri"/>
                <w:b/>
                <w:bCs/>
                <w:color w:val="000000"/>
              </w:rPr>
            </w:pPr>
          </w:p>
        </w:tc>
        <w:tc>
          <w:tcPr>
            <w:tcW w:w="719" w:type="dxa"/>
            <w:tcBorders>
              <w:top w:val="nil"/>
              <w:left w:val="nil"/>
              <w:bottom w:val="nil"/>
              <w:right w:val="nil"/>
            </w:tcBorders>
            <w:shd w:val="clear" w:color="DBE5F1" w:fill="DBE5F1"/>
            <w:noWrap/>
            <w:vAlign w:val="bottom"/>
            <w:hideMark/>
          </w:tcPr>
          <w:p w:rsidR="00424F23" w:rsidRDefault="00424F23" w:rsidP="00424F23">
            <w:pPr>
              <w:rPr>
                <w:rFonts w:ascii="Calibri" w:hAnsi="Calibri"/>
                <w:b/>
                <w:bCs/>
                <w:color w:val="000000"/>
              </w:rPr>
            </w:pPr>
          </w:p>
        </w:tc>
        <w:tc>
          <w:tcPr>
            <w:tcW w:w="719" w:type="dxa"/>
            <w:tcBorders>
              <w:top w:val="nil"/>
              <w:left w:val="nil"/>
              <w:bottom w:val="nil"/>
              <w:right w:val="nil"/>
            </w:tcBorders>
            <w:shd w:val="clear" w:color="DBE5F1" w:fill="DBE5F1"/>
            <w:noWrap/>
            <w:vAlign w:val="bottom"/>
            <w:hideMark/>
          </w:tcPr>
          <w:p w:rsidR="00424F23" w:rsidRDefault="00424F23" w:rsidP="00424F23">
            <w:pPr>
              <w:rPr>
                <w:rFonts w:ascii="Calibri" w:hAnsi="Calibri"/>
                <w:b/>
                <w:bCs/>
                <w:color w:val="000000"/>
              </w:rPr>
            </w:pPr>
          </w:p>
        </w:tc>
        <w:tc>
          <w:tcPr>
            <w:tcW w:w="719" w:type="dxa"/>
            <w:tcBorders>
              <w:top w:val="nil"/>
              <w:left w:val="nil"/>
              <w:bottom w:val="nil"/>
              <w:right w:val="nil"/>
            </w:tcBorders>
            <w:shd w:val="clear" w:color="DBE5F1" w:fill="DBE5F1"/>
            <w:noWrap/>
            <w:vAlign w:val="bottom"/>
            <w:hideMark/>
          </w:tcPr>
          <w:p w:rsidR="00424F23" w:rsidRDefault="00424F23" w:rsidP="00424F23">
            <w:pPr>
              <w:rPr>
                <w:rFonts w:ascii="Calibri" w:hAnsi="Calibri"/>
                <w:b/>
                <w:bCs/>
                <w:color w:val="000000"/>
              </w:rPr>
            </w:pPr>
          </w:p>
        </w:tc>
        <w:tc>
          <w:tcPr>
            <w:tcW w:w="719" w:type="dxa"/>
            <w:tcBorders>
              <w:top w:val="nil"/>
              <w:left w:val="nil"/>
              <w:bottom w:val="nil"/>
              <w:right w:val="nil"/>
            </w:tcBorders>
            <w:shd w:val="clear" w:color="DBE5F1" w:fill="DBE5F1"/>
            <w:noWrap/>
            <w:vAlign w:val="bottom"/>
            <w:hideMark/>
          </w:tcPr>
          <w:p w:rsidR="00424F23" w:rsidRDefault="00424F23" w:rsidP="00424F23">
            <w:pPr>
              <w:rPr>
                <w:rFonts w:ascii="Calibri" w:hAnsi="Calibri"/>
                <w:b/>
                <w:bCs/>
                <w:color w:val="000000"/>
              </w:rPr>
            </w:pPr>
          </w:p>
        </w:tc>
        <w:tc>
          <w:tcPr>
            <w:tcW w:w="719" w:type="dxa"/>
            <w:tcBorders>
              <w:top w:val="nil"/>
              <w:left w:val="nil"/>
              <w:bottom w:val="nil"/>
              <w:right w:val="nil"/>
            </w:tcBorders>
            <w:shd w:val="clear" w:color="DBE5F1" w:fill="DBE5F1"/>
            <w:noWrap/>
            <w:vAlign w:val="bottom"/>
            <w:hideMark/>
          </w:tcPr>
          <w:p w:rsidR="00424F23" w:rsidRDefault="00424F23" w:rsidP="00424F23">
            <w:pPr>
              <w:rPr>
                <w:rFonts w:ascii="Calibri" w:hAnsi="Calibri"/>
                <w:b/>
                <w:bCs/>
                <w:color w:val="000000"/>
              </w:rPr>
            </w:pPr>
          </w:p>
        </w:tc>
        <w:tc>
          <w:tcPr>
            <w:tcW w:w="719" w:type="dxa"/>
            <w:tcBorders>
              <w:top w:val="nil"/>
              <w:left w:val="nil"/>
              <w:bottom w:val="nil"/>
              <w:right w:val="nil"/>
            </w:tcBorders>
            <w:shd w:val="clear" w:color="DBE5F1" w:fill="DBE5F1"/>
            <w:noWrap/>
            <w:vAlign w:val="bottom"/>
            <w:hideMark/>
          </w:tcPr>
          <w:p w:rsidR="00424F23" w:rsidRDefault="00424F23" w:rsidP="00424F23">
            <w:pPr>
              <w:rPr>
                <w:rFonts w:ascii="Calibri" w:hAnsi="Calibri"/>
                <w:b/>
                <w:bCs/>
                <w:color w:val="000000"/>
              </w:rPr>
            </w:pPr>
          </w:p>
        </w:tc>
        <w:tc>
          <w:tcPr>
            <w:tcW w:w="719" w:type="dxa"/>
            <w:tcBorders>
              <w:top w:val="nil"/>
              <w:left w:val="nil"/>
              <w:bottom w:val="nil"/>
              <w:right w:val="nil"/>
            </w:tcBorders>
            <w:shd w:val="clear" w:color="DBE5F1" w:fill="DBE5F1"/>
            <w:noWrap/>
            <w:vAlign w:val="bottom"/>
            <w:hideMark/>
          </w:tcPr>
          <w:p w:rsidR="00424F23" w:rsidRDefault="00424F23" w:rsidP="00424F23">
            <w:pPr>
              <w:rPr>
                <w:rFonts w:ascii="Calibri" w:hAnsi="Calibri"/>
                <w:b/>
                <w:bCs/>
                <w:color w:val="000000"/>
              </w:rPr>
            </w:pPr>
          </w:p>
        </w:tc>
        <w:tc>
          <w:tcPr>
            <w:tcW w:w="719" w:type="dxa"/>
            <w:tcBorders>
              <w:top w:val="nil"/>
              <w:left w:val="nil"/>
              <w:bottom w:val="nil"/>
              <w:right w:val="nil"/>
            </w:tcBorders>
            <w:shd w:val="clear" w:color="DBE5F1" w:fill="DBE5F1"/>
            <w:noWrap/>
            <w:vAlign w:val="bottom"/>
            <w:hideMark/>
          </w:tcPr>
          <w:p w:rsidR="00424F23" w:rsidRDefault="00424F23" w:rsidP="00424F23">
            <w:pPr>
              <w:rPr>
                <w:rFonts w:ascii="Calibri" w:hAnsi="Calibri"/>
                <w:b/>
                <w:bCs/>
                <w:color w:val="000000"/>
              </w:rPr>
            </w:pPr>
          </w:p>
        </w:tc>
        <w:tc>
          <w:tcPr>
            <w:tcW w:w="1083" w:type="dxa"/>
            <w:tcBorders>
              <w:top w:val="nil"/>
              <w:left w:val="nil"/>
              <w:bottom w:val="nil"/>
              <w:right w:val="nil"/>
            </w:tcBorders>
            <w:shd w:val="clear" w:color="DBE5F1" w:fill="DBE5F1"/>
            <w:noWrap/>
            <w:vAlign w:val="bottom"/>
            <w:hideMark/>
          </w:tcPr>
          <w:p w:rsidR="00424F23" w:rsidRDefault="00424F23" w:rsidP="00424F23">
            <w:pPr>
              <w:rPr>
                <w:rFonts w:ascii="Calibri" w:hAnsi="Calibri"/>
                <w:b/>
                <w:bCs/>
                <w:color w:val="000000"/>
              </w:rPr>
            </w:pPr>
          </w:p>
        </w:tc>
      </w:tr>
      <w:tr w:rsidR="00424F23" w:rsidTr="00424F23">
        <w:trPr>
          <w:trHeight w:val="252"/>
        </w:trPr>
        <w:tc>
          <w:tcPr>
            <w:tcW w:w="1809" w:type="dxa"/>
            <w:tcBorders>
              <w:top w:val="nil"/>
              <w:left w:val="nil"/>
              <w:bottom w:val="single" w:sz="4" w:space="0" w:color="95B3D7"/>
              <w:right w:val="nil"/>
            </w:tcBorders>
            <w:shd w:val="clear" w:color="DBE5F1" w:fill="DBE5F1"/>
            <w:noWrap/>
            <w:vAlign w:val="bottom"/>
            <w:hideMark/>
          </w:tcPr>
          <w:p w:rsidR="00424F23" w:rsidRDefault="00424F23" w:rsidP="00424F23">
            <w:pPr>
              <w:rPr>
                <w:rFonts w:ascii="Calibri" w:hAnsi="Calibri"/>
                <w:b/>
                <w:bCs/>
                <w:color w:val="000000"/>
              </w:rPr>
            </w:pPr>
            <w:r>
              <w:rPr>
                <w:rFonts w:ascii="Calibri" w:hAnsi="Calibri"/>
                <w:b/>
                <w:bCs/>
                <w:color w:val="000000"/>
              </w:rPr>
              <w:t>Row Labels</w:t>
            </w:r>
          </w:p>
        </w:tc>
        <w:tc>
          <w:tcPr>
            <w:tcW w:w="920" w:type="dxa"/>
            <w:tcBorders>
              <w:top w:val="nil"/>
              <w:left w:val="nil"/>
              <w:bottom w:val="single" w:sz="4" w:space="0" w:color="95B3D7"/>
              <w:right w:val="nil"/>
            </w:tcBorders>
            <w:shd w:val="clear" w:color="DBE5F1" w:fill="DBE5F1"/>
            <w:noWrap/>
            <w:vAlign w:val="bottom"/>
            <w:hideMark/>
          </w:tcPr>
          <w:p w:rsidR="00424F23" w:rsidRDefault="00424F23" w:rsidP="00424F23">
            <w:pPr>
              <w:ind w:left="-249" w:right="282"/>
              <w:jc w:val="center"/>
              <w:rPr>
                <w:rFonts w:ascii="Calibri" w:hAnsi="Calibri"/>
                <w:b/>
                <w:bCs/>
                <w:color w:val="000000"/>
              </w:rPr>
            </w:pPr>
            <w:r>
              <w:rPr>
                <w:rFonts w:ascii="Calibri" w:hAnsi="Calibri"/>
                <w:b/>
                <w:bCs/>
                <w:color w:val="000000"/>
              </w:rPr>
              <w:t>2002</w:t>
            </w:r>
          </w:p>
        </w:tc>
        <w:tc>
          <w:tcPr>
            <w:tcW w:w="719" w:type="dxa"/>
            <w:tcBorders>
              <w:top w:val="nil"/>
              <w:left w:val="nil"/>
              <w:bottom w:val="single" w:sz="4" w:space="0" w:color="95B3D7"/>
              <w:right w:val="nil"/>
            </w:tcBorders>
            <w:shd w:val="clear" w:color="DBE5F1" w:fill="DBE5F1"/>
            <w:noWrap/>
            <w:vAlign w:val="bottom"/>
            <w:hideMark/>
          </w:tcPr>
          <w:p w:rsidR="00424F23" w:rsidRDefault="00424F23" w:rsidP="00424F23">
            <w:pPr>
              <w:jc w:val="right"/>
              <w:rPr>
                <w:rFonts w:ascii="Calibri" w:hAnsi="Calibri"/>
                <w:b/>
                <w:bCs/>
                <w:color w:val="000000"/>
              </w:rPr>
            </w:pPr>
            <w:r>
              <w:rPr>
                <w:rFonts w:ascii="Calibri" w:hAnsi="Calibri"/>
                <w:b/>
                <w:bCs/>
                <w:color w:val="000000"/>
              </w:rPr>
              <w:t>2003</w:t>
            </w:r>
          </w:p>
        </w:tc>
        <w:tc>
          <w:tcPr>
            <w:tcW w:w="719" w:type="dxa"/>
            <w:tcBorders>
              <w:top w:val="nil"/>
              <w:left w:val="nil"/>
              <w:bottom w:val="single" w:sz="4" w:space="0" w:color="95B3D7"/>
              <w:right w:val="nil"/>
            </w:tcBorders>
            <w:shd w:val="clear" w:color="DBE5F1" w:fill="DBE5F1"/>
            <w:noWrap/>
            <w:vAlign w:val="bottom"/>
            <w:hideMark/>
          </w:tcPr>
          <w:p w:rsidR="00424F23" w:rsidRDefault="00424F23" w:rsidP="00424F23">
            <w:pPr>
              <w:jc w:val="right"/>
              <w:rPr>
                <w:rFonts w:ascii="Calibri" w:hAnsi="Calibri"/>
                <w:b/>
                <w:bCs/>
                <w:color w:val="000000"/>
              </w:rPr>
            </w:pPr>
            <w:r>
              <w:rPr>
                <w:rFonts w:ascii="Calibri" w:hAnsi="Calibri"/>
                <w:b/>
                <w:bCs/>
                <w:color w:val="000000"/>
              </w:rPr>
              <w:t>2004</w:t>
            </w:r>
          </w:p>
        </w:tc>
        <w:tc>
          <w:tcPr>
            <w:tcW w:w="719" w:type="dxa"/>
            <w:tcBorders>
              <w:top w:val="nil"/>
              <w:left w:val="nil"/>
              <w:bottom w:val="single" w:sz="4" w:space="0" w:color="95B3D7"/>
              <w:right w:val="nil"/>
            </w:tcBorders>
            <w:shd w:val="clear" w:color="DBE5F1" w:fill="DBE5F1"/>
            <w:noWrap/>
            <w:vAlign w:val="bottom"/>
            <w:hideMark/>
          </w:tcPr>
          <w:p w:rsidR="00424F23" w:rsidRDefault="00424F23" w:rsidP="00424F23">
            <w:pPr>
              <w:jc w:val="right"/>
              <w:rPr>
                <w:rFonts w:ascii="Calibri" w:hAnsi="Calibri"/>
                <w:b/>
                <w:bCs/>
                <w:color w:val="000000"/>
              </w:rPr>
            </w:pPr>
            <w:r>
              <w:rPr>
                <w:rFonts w:ascii="Calibri" w:hAnsi="Calibri"/>
                <w:b/>
                <w:bCs/>
                <w:color w:val="000000"/>
              </w:rPr>
              <w:t>2005</w:t>
            </w:r>
          </w:p>
        </w:tc>
        <w:tc>
          <w:tcPr>
            <w:tcW w:w="719" w:type="dxa"/>
            <w:tcBorders>
              <w:top w:val="nil"/>
              <w:left w:val="nil"/>
              <w:bottom w:val="single" w:sz="4" w:space="0" w:color="95B3D7"/>
              <w:right w:val="nil"/>
            </w:tcBorders>
            <w:shd w:val="clear" w:color="DBE5F1" w:fill="DBE5F1"/>
            <w:noWrap/>
            <w:vAlign w:val="bottom"/>
            <w:hideMark/>
          </w:tcPr>
          <w:p w:rsidR="00424F23" w:rsidRDefault="00424F23" w:rsidP="00424F23">
            <w:pPr>
              <w:jc w:val="right"/>
              <w:rPr>
                <w:rFonts w:ascii="Calibri" w:hAnsi="Calibri"/>
                <w:b/>
                <w:bCs/>
                <w:color w:val="000000"/>
              </w:rPr>
            </w:pPr>
            <w:r>
              <w:rPr>
                <w:rFonts w:ascii="Calibri" w:hAnsi="Calibri"/>
                <w:b/>
                <w:bCs/>
                <w:color w:val="000000"/>
              </w:rPr>
              <w:t>2006</w:t>
            </w:r>
          </w:p>
        </w:tc>
        <w:tc>
          <w:tcPr>
            <w:tcW w:w="719" w:type="dxa"/>
            <w:tcBorders>
              <w:top w:val="nil"/>
              <w:left w:val="nil"/>
              <w:bottom w:val="single" w:sz="4" w:space="0" w:color="95B3D7"/>
              <w:right w:val="nil"/>
            </w:tcBorders>
            <w:shd w:val="clear" w:color="DBE5F1" w:fill="DBE5F1"/>
            <w:noWrap/>
            <w:vAlign w:val="bottom"/>
            <w:hideMark/>
          </w:tcPr>
          <w:p w:rsidR="00424F23" w:rsidRDefault="00424F23" w:rsidP="00424F23">
            <w:pPr>
              <w:jc w:val="right"/>
              <w:rPr>
                <w:rFonts w:ascii="Calibri" w:hAnsi="Calibri"/>
                <w:b/>
                <w:bCs/>
                <w:color w:val="000000"/>
              </w:rPr>
            </w:pPr>
            <w:r>
              <w:rPr>
                <w:rFonts w:ascii="Calibri" w:hAnsi="Calibri"/>
                <w:b/>
                <w:bCs/>
                <w:color w:val="000000"/>
              </w:rPr>
              <w:t>2007</w:t>
            </w:r>
          </w:p>
        </w:tc>
        <w:tc>
          <w:tcPr>
            <w:tcW w:w="719" w:type="dxa"/>
            <w:tcBorders>
              <w:top w:val="nil"/>
              <w:left w:val="nil"/>
              <w:bottom w:val="single" w:sz="4" w:space="0" w:color="95B3D7"/>
              <w:right w:val="nil"/>
            </w:tcBorders>
            <w:shd w:val="clear" w:color="DBE5F1" w:fill="DBE5F1"/>
            <w:noWrap/>
            <w:vAlign w:val="bottom"/>
            <w:hideMark/>
          </w:tcPr>
          <w:p w:rsidR="00424F23" w:rsidRDefault="00424F23" w:rsidP="00424F23">
            <w:pPr>
              <w:jc w:val="right"/>
              <w:rPr>
                <w:rFonts w:ascii="Calibri" w:hAnsi="Calibri"/>
                <w:b/>
                <w:bCs/>
                <w:color w:val="000000"/>
              </w:rPr>
            </w:pPr>
            <w:r>
              <w:rPr>
                <w:rFonts w:ascii="Calibri" w:hAnsi="Calibri"/>
                <w:b/>
                <w:bCs/>
                <w:color w:val="000000"/>
              </w:rPr>
              <w:t>2008</w:t>
            </w:r>
          </w:p>
        </w:tc>
        <w:tc>
          <w:tcPr>
            <w:tcW w:w="719" w:type="dxa"/>
            <w:tcBorders>
              <w:top w:val="nil"/>
              <w:left w:val="nil"/>
              <w:bottom w:val="single" w:sz="4" w:space="0" w:color="95B3D7"/>
              <w:right w:val="nil"/>
            </w:tcBorders>
            <w:shd w:val="clear" w:color="DBE5F1" w:fill="DBE5F1"/>
            <w:noWrap/>
            <w:vAlign w:val="bottom"/>
            <w:hideMark/>
          </w:tcPr>
          <w:p w:rsidR="00424F23" w:rsidRDefault="00424F23" w:rsidP="00424F23">
            <w:pPr>
              <w:jc w:val="right"/>
              <w:rPr>
                <w:rFonts w:ascii="Calibri" w:hAnsi="Calibri"/>
                <w:b/>
                <w:bCs/>
                <w:color w:val="000000"/>
              </w:rPr>
            </w:pPr>
            <w:r>
              <w:rPr>
                <w:rFonts w:ascii="Calibri" w:hAnsi="Calibri"/>
                <w:b/>
                <w:bCs/>
                <w:color w:val="000000"/>
              </w:rPr>
              <w:t>2009</w:t>
            </w:r>
          </w:p>
        </w:tc>
        <w:tc>
          <w:tcPr>
            <w:tcW w:w="719" w:type="dxa"/>
            <w:tcBorders>
              <w:top w:val="nil"/>
              <w:left w:val="nil"/>
              <w:bottom w:val="single" w:sz="4" w:space="0" w:color="95B3D7"/>
              <w:right w:val="nil"/>
            </w:tcBorders>
            <w:shd w:val="clear" w:color="DBE5F1" w:fill="DBE5F1"/>
            <w:noWrap/>
            <w:vAlign w:val="bottom"/>
            <w:hideMark/>
          </w:tcPr>
          <w:p w:rsidR="00424F23" w:rsidRDefault="00424F23" w:rsidP="00424F23">
            <w:pPr>
              <w:jc w:val="right"/>
              <w:rPr>
                <w:rFonts w:ascii="Calibri" w:hAnsi="Calibri"/>
                <w:b/>
                <w:bCs/>
                <w:color w:val="000000"/>
              </w:rPr>
            </w:pPr>
            <w:r>
              <w:rPr>
                <w:rFonts w:ascii="Calibri" w:hAnsi="Calibri"/>
                <w:b/>
                <w:bCs/>
                <w:color w:val="000000"/>
              </w:rPr>
              <w:t>2010</w:t>
            </w:r>
          </w:p>
        </w:tc>
        <w:tc>
          <w:tcPr>
            <w:tcW w:w="719" w:type="dxa"/>
            <w:tcBorders>
              <w:top w:val="nil"/>
              <w:left w:val="nil"/>
              <w:bottom w:val="single" w:sz="4" w:space="0" w:color="95B3D7"/>
              <w:right w:val="nil"/>
            </w:tcBorders>
            <w:shd w:val="clear" w:color="DBE5F1" w:fill="DBE5F1"/>
            <w:noWrap/>
            <w:vAlign w:val="bottom"/>
            <w:hideMark/>
          </w:tcPr>
          <w:p w:rsidR="00424F23" w:rsidRDefault="00424F23" w:rsidP="00424F23">
            <w:pPr>
              <w:jc w:val="right"/>
              <w:rPr>
                <w:rFonts w:ascii="Calibri" w:hAnsi="Calibri"/>
                <w:b/>
                <w:bCs/>
                <w:color w:val="000000"/>
              </w:rPr>
            </w:pPr>
            <w:r>
              <w:rPr>
                <w:rFonts w:ascii="Calibri" w:hAnsi="Calibri"/>
                <w:b/>
                <w:bCs/>
                <w:color w:val="000000"/>
              </w:rPr>
              <w:t>2011</w:t>
            </w:r>
          </w:p>
        </w:tc>
        <w:tc>
          <w:tcPr>
            <w:tcW w:w="1083" w:type="dxa"/>
            <w:tcBorders>
              <w:top w:val="nil"/>
              <w:left w:val="nil"/>
              <w:bottom w:val="single" w:sz="4" w:space="0" w:color="95B3D7"/>
              <w:right w:val="nil"/>
            </w:tcBorders>
            <w:shd w:val="clear" w:color="DBE5F1" w:fill="DBE5F1"/>
            <w:noWrap/>
            <w:vAlign w:val="bottom"/>
            <w:hideMark/>
          </w:tcPr>
          <w:p w:rsidR="00424F23" w:rsidRDefault="00424F23" w:rsidP="00424F23">
            <w:pPr>
              <w:rPr>
                <w:rFonts w:ascii="Calibri" w:hAnsi="Calibri"/>
                <w:b/>
                <w:bCs/>
                <w:color w:val="000000"/>
              </w:rPr>
            </w:pPr>
            <w:r>
              <w:rPr>
                <w:rFonts w:ascii="Calibri" w:hAnsi="Calibri"/>
                <w:b/>
                <w:bCs/>
                <w:color w:val="000000"/>
              </w:rPr>
              <w:t>Grand Total</w:t>
            </w:r>
          </w:p>
        </w:tc>
      </w:tr>
      <w:tr w:rsidR="00424F23" w:rsidTr="00424F23">
        <w:trPr>
          <w:trHeight w:val="252"/>
        </w:trPr>
        <w:tc>
          <w:tcPr>
            <w:tcW w:w="180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BWBS</w:t>
            </w:r>
          </w:p>
        </w:tc>
        <w:tc>
          <w:tcPr>
            <w:tcW w:w="920"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1,309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1,395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1,548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1,238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939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1,485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1,717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1,407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1,683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655 </w:t>
            </w:r>
          </w:p>
        </w:tc>
        <w:tc>
          <w:tcPr>
            <w:tcW w:w="1083"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1,333 </w:t>
            </w:r>
          </w:p>
        </w:tc>
      </w:tr>
      <w:tr w:rsidR="00424F23" w:rsidTr="00424F23">
        <w:trPr>
          <w:trHeight w:val="252"/>
        </w:trPr>
        <w:tc>
          <w:tcPr>
            <w:tcW w:w="180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CWH</w:t>
            </w:r>
          </w:p>
        </w:tc>
        <w:tc>
          <w:tcPr>
            <w:tcW w:w="920"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1,020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1,074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994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1,185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1,017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968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853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792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901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921 </w:t>
            </w:r>
          </w:p>
        </w:tc>
        <w:tc>
          <w:tcPr>
            <w:tcW w:w="1083"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968 </w:t>
            </w:r>
          </w:p>
        </w:tc>
      </w:tr>
      <w:tr w:rsidR="00424F23" w:rsidTr="00424F23">
        <w:trPr>
          <w:trHeight w:val="252"/>
        </w:trPr>
        <w:tc>
          <w:tcPr>
            <w:tcW w:w="180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ESSF</w:t>
            </w:r>
          </w:p>
        </w:tc>
        <w:tc>
          <w:tcPr>
            <w:tcW w:w="920"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1,358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1,438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1,188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1,222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1,256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1,186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1,531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1,625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1,464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1,317 </w:t>
            </w:r>
          </w:p>
        </w:tc>
        <w:tc>
          <w:tcPr>
            <w:tcW w:w="1083"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1,323 </w:t>
            </w:r>
          </w:p>
        </w:tc>
      </w:tr>
      <w:tr w:rsidR="00424F23" w:rsidTr="00424F23">
        <w:trPr>
          <w:trHeight w:val="252"/>
        </w:trPr>
        <w:tc>
          <w:tcPr>
            <w:tcW w:w="180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ICH</w:t>
            </w:r>
          </w:p>
        </w:tc>
        <w:tc>
          <w:tcPr>
            <w:tcW w:w="920"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1,121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1,006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1,201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1,047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1,233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1,252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1,308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1,316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1,117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1,139 </w:t>
            </w:r>
          </w:p>
        </w:tc>
        <w:tc>
          <w:tcPr>
            <w:tcW w:w="1083"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1,177 </w:t>
            </w:r>
          </w:p>
        </w:tc>
      </w:tr>
      <w:tr w:rsidR="00424F23" w:rsidTr="00424F23">
        <w:trPr>
          <w:trHeight w:val="252"/>
        </w:trPr>
        <w:tc>
          <w:tcPr>
            <w:tcW w:w="180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MH</w:t>
            </w:r>
          </w:p>
        </w:tc>
        <w:tc>
          <w:tcPr>
            <w:tcW w:w="920"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604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1083"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604 </w:t>
            </w:r>
          </w:p>
        </w:tc>
      </w:tr>
      <w:tr w:rsidR="00424F23" w:rsidTr="00424F23">
        <w:trPr>
          <w:trHeight w:val="252"/>
        </w:trPr>
        <w:tc>
          <w:tcPr>
            <w:tcW w:w="180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SBPS</w:t>
            </w:r>
          </w:p>
        </w:tc>
        <w:tc>
          <w:tcPr>
            <w:tcW w:w="920"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1,188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1,180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1,566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1,521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1,029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1083"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1,332 </w:t>
            </w:r>
          </w:p>
        </w:tc>
      </w:tr>
      <w:tr w:rsidR="00424F23" w:rsidTr="00424F23">
        <w:trPr>
          <w:trHeight w:val="252"/>
        </w:trPr>
        <w:tc>
          <w:tcPr>
            <w:tcW w:w="180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SBS</w:t>
            </w:r>
          </w:p>
        </w:tc>
        <w:tc>
          <w:tcPr>
            <w:tcW w:w="920"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1,483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1,470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1,446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1,449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1,516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1,445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1,451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1,328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1,380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1,374 </w:t>
            </w:r>
          </w:p>
        </w:tc>
        <w:tc>
          <w:tcPr>
            <w:tcW w:w="1083"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1,442 </w:t>
            </w:r>
          </w:p>
        </w:tc>
      </w:tr>
      <w:tr w:rsidR="00424F23" w:rsidTr="00424F23">
        <w:trPr>
          <w:trHeight w:val="252"/>
        </w:trPr>
        <w:tc>
          <w:tcPr>
            <w:tcW w:w="180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SWB</w:t>
            </w:r>
          </w:p>
        </w:tc>
        <w:tc>
          <w:tcPr>
            <w:tcW w:w="920"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1,263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810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1083"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1,037 </w:t>
            </w:r>
          </w:p>
        </w:tc>
      </w:tr>
      <w:tr w:rsidR="00424F23" w:rsidTr="00424F23">
        <w:trPr>
          <w:trHeight w:val="252"/>
        </w:trPr>
        <w:tc>
          <w:tcPr>
            <w:tcW w:w="180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(blank)</w:t>
            </w:r>
          </w:p>
        </w:tc>
        <w:tc>
          <w:tcPr>
            <w:tcW w:w="920"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962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1,295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750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1,193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1,435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1,148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1,093 </w:t>
            </w: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p>
        </w:tc>
        <w:tc>
          <w:tcPr>
            <w:tcW w:w="719"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762 </w:t>
            </w:r>
          </w:p>
        </w:tc>
        <w:tc>
          <w:tcPr>
            <w:tcW w:w="1083" w:type="dxa"/>
            <w:tcBorders>
              <w:top w:val="nil"/>
              <w:left w:val="nil"/>
              <w:bottom w:val="nil"/>
              <w:right w:val="nil"/>
            </w:tcBorders>
            <w:shd w:val="clear" w:color="auto" w:fill="auto"/>
            <w:noWrap/>
            <w:vAlign w:val="bottom"/>
            <w:hideMark/>
          </w:tcPr>
          <w:p w:rsidR="00424F23" w:rsidRDefault="00424F23" w:rsidP="00424F23">
            <w:pPr>
              <w:rPr>
                <w:rFonts w:ascii="Calibri" w:hAnsi="Calibri"/>
              </w:rPr>
            </w:pPr>
            <w:r>
              <w:rPr>
                <w:rFonts w:ascii="Calibri" w:hAnsi="Calibri"/>
              </w:rPr>
              <w:t xml:space="preserve">             1,149 </w:t>
            </w:r>
          </w:p>
        </w:tc>
      </w:tr>
      <w:tr w:rsidR="00424F23" w:rsidTr="00424F23">
        <w:trPr>
          <w:trHeight w:val="252"/>
        </w:trPr>
        <w:tc>
          <w:tcPr>
            <w:tcW w:w="1809" w:type="dxa"/>
            <w:tcBorders>
              <w:top w:val="single" w:sz="4" w:space="0" w:color="95B3D7"/>
              <w:left w:val="nil"/>
              <w:bottom w:val="nil"/>
              <w:right w:val="nil"/>
            </w:tcBorders>
            <w:shd w:val="clear" w:color="DBE5F1" w:fill="DBE5F1"/>
            <w:noWrap/>
            <w:vAlign w:val="bottom"/>
            <w:hideMark/>
          </w:tcPr>
          <w:p w:rsidR="00424F23" w:rsidRDefault="00424F23" w:rsidP="00424F23">
            <w:pPr>
              <w:rPr>
                <w:rFonts w:ascii="Calibri" w:hAnsi="Calibri"/>
                <w:b/>
                <w:bCs/>
                <w:color w:val="000000"/>
              </w:rPr>
            </w:pPr>
            <w:r>
              <w:rPr>
                <w:rFonts w:ascii="Calibri" w:hAnsi="Calibri"/>
                <w:b/>
                <w:bCs/>
                <w:color w:val="000000"/>
              </w:rPr>
              <w:t>Grand Total</w:t>
            </w:r>
          </w:p>
        </w:tc>
        <w:tc>
          <w:tcPr>
            <w:tcW w:w="920" w:type="dxa"/>
            <w:tcBorders>
              <w:top w:val="single" w:sz="4" w:space="0" w:color="95B3D7"/>
              <w:left w:val="nil"/>
              <w:bottom w:val="nil"/>
              <w:right w:val="nil"/>
            </w:tcBorders>
            <w:shd w:val="clear" w:color="DBE5F1" w:fill="DBE5F1"/>
            <w:noWrap/>
            <w:vAlign w:val="bottom"/>
            <w:hideMark/>
          </w:tcPr>
          <w:p w:rsidR="00424F23" w:rsidRDefault="00424F23" w:rsidP="00424F23">
            <w:pPr>
              <w:rPr>
                <w:rFonts w:ascii="Calibri" w:hAnsi="Calibri"/>
                <w:b/>
                <w:bCs/>
                <w:color w:val="000000"/>
              </w:rPr>
            </w:pPr>
            <w:r>
              <w:rPr>
                <w:rFonts w:ascii="Calibri" w:hAnsi="Calibri"/>
                <w:b/>
                <w:bCs/>
                <w:color w:val="000000"/>
              </w:rPr>
              <w:t xml:space="preserve">                            1,437 </w:t>
            </w:r>
          </w:p>
        </w:tc>
        <w:tc>
          <w:tcPr>
            <w:tcW w:w="719" w:type="dxa"/>
            <w:tcBorders>
              <w:top w:val="single" w:sz="4" w:space="0" w:color="95B3D7"/>
              <w:left w:val="nil"/>
              <w:bottom w:val="nil"/>
              <w:right w:val="nil"/>
            </w:tcBorders>
            <w:shd w:val="clear" w:color="DBE5F1" w:fill="DBE5F1"/>
            <w:noWrap/>
            <w:vAlign w:val="bottom"/>
            <w:hideMark/>
          </w:tcPr>
          <w:p w:rsidR="00424F23" w:rsidRDefault="00424F23" w:rsidP="00424F23">
            <w:pPr>
              <w:rPr>
                <w:rFonts w:ascii="Calibri" w:hAnsi="Calibri"/>
                <w:b/>
                <w:bCs/>
                <w:color w:val="000000"/>
              </w:rPr>
            </w:pPr>
            <w:r>
              <w:rPr>
                <w:rFonts w:ascii="Calibri" w:hAnsi="Calibri"/>
                <w:b/>
                <w:bCs/>
                <w:color w:val="000000"/>
              </w:rPr>
              <w:t xml:space="preserve">   1,445 </w:t>
            </w:r>
          </w:p>
        </w:tc>
        <w:tc>
          <w:tcPr>
            <w:tcW w:w="719" w:type="dxa"/>
            <w:tcBorders>
              <w:top w:val="single" w:sz="4" w:space="0" w:color="95B3D7"/>
              <w:left w:val="nil"/>
              <w:bottom w:val="nil"/>
              <w:right w:val="nil"/>
            </w:tcBorders>
            <w:shd w:val="clear" w:color="DBE5F1" w:fill="DBE5F1"/>
            <w:noWrap/>
            <w:vAlign w:val="bottom"/>
            <w:hideMark/>
          </w:tcPr>
          <w:p w:rsidR="00424F23" w:rsidRDefault="00424F23" w:rsidP="00424F23">
            <w:pPr>
              <w:rPr>
                <w:rFonts w:ascii="Calibri" w:hAnsi="Calibri"/>
                <w:b/>
                <w:bCs/>
                <w:color w:val="000000"/>
              </w:rPr>
            </w:pPr>
            <w:r>
              <w:rPr>
                <w:rFonts w:ascii="Calibri" w:hAnsi="Calibri"/>
                <w:b/>
                <w:bCs/>
                <w:color w:val="000000"/>
              </w:rPr>
              <w:t xml:space="preserve">   1,417 </w:t>
            </w:r>
          </w:p>
        </w:tc>
        <w:tc>
          <w:tcPr>
            <w:tcW w:w="719" w:type="dxa"/>
            <w:tcBorders>
              <w:top w:val="single" w:sz="4" w:space="0" w:color="95B3D7"/>
              <w:left w:val="nil"/>
              <w:bottom w:val="nil"/>
              <w:right w:val="nil"/>
            </w:tcBorders>
            <w:shd w:val="clear" w:color="DBE5F1" w:fill="DBE5F1"/>
            <w:noWrap/>
            <w:vAlign w:val="bottom"/>
            <w:hideMark/>
          </w:tcPr>
          <w:p w:rsidR="00424F23" w:rsidRDefault="00424F23" w:rsidP="00424F23">
            <w:pPr>
              <w:rPr>
                <w:rFonts w:ascii="Calibri" w:hAnsi="Calibri"/>
                <w:b/>
                <w:bCs/>
                <w:color w:val="000000"/>
              </w:rPr>
            </w:pPr>
            <w:r>
              <w:rPr>
                <w:rFonts w:ascii="Calibri" w:hAnsi="Calibri"/>
                <w:b/>
                <w:bCs/>
                <w:color w:val="000000"/>
              </w:rPr>
              <w:t xml:space="preserve">   1,423 </w:t>
            </w:r>
          </w:p>
        </w:tc>
        <w:tc>
          <w:tcPr>
            <w:tcW w:w="719" w:type="dxa"/>
            <w:tcBorders>
              <w:top w:val="single" w:sz="4" w:space="0" w:color="95B3D7"/>
              <w:left w:val="nil"/>
              <w:bottom w:val="nil"/>
              <w:right w:val="nil"/>
            </w:tcBorders>
            <w:shd w:val="clear" w:color="DBE5F1" w:fill="DBE5F1"/>
            <w:noWrap/>
            <w:vAlign w:val="bottom"/>
            <w:hideMark/>
          </w:tcPr>
          <w:p w:rsidR="00424F23" w:rsidRDefault="00424F23" w:rsidP="00424F23">
            <w:pPr>
              <w:rPr>
                <w:rFonts w:ascii="Calibri" w:hAnsi="Calibri"/>
                <w:b/>
                <w:bCs/>
                <w:color w:val="000000"/>
              </w:rPr>
            </w:pPr>
            <w:r>
              <w:rPr>
                <w:rFonts w:ascii="Calibri" w:hAnsi="Calibri"/>
                <w:b/>
                <w:bCs/>
                <w:color w:val="000000"/>
              </w:rPr>
              <w:t xml:space="preserve">   1,490 </w:t>
            </w:r>
          </w:p>
        </w:tc>
        <w:tc>
          <w:tcPr>
            <w:tcW w:w="719" w:type="dxa"/>
            <w:tcBorders>
              <w:top w:val="single" w:sz="4" w:space="0" w:color="95B3D7"/>
              <w:left w:val="nil"/>
              <w:bottom w:val="nil"/>
              <w:right w:val="nil"/>
            </w:tcBorders>
            <w:shd w:val="clear" w:color="DBE5F1" w:fill="DBE5F1"/>
            <w:noWrap/>
            <w:vAlign w:val="bottom"/>
            <w:hideMark/>
          </w:tcPr>
          <w:p w:rsidR="00424F23" w:rsidRDefault="00424F23" w:rsidP="00424F23">
            <w:pPr>
              <w:rPr>
                <w:rFonts w:ascii="Calibri" w:hAnsi="Calibri"/>
                <w:b/>
                <w:bCs/>
                <w:color w:val="000000"/>
              </w:rPr>
            </w:pPr>
            <w:r>
              <w:rPr>
                <w:rFonts w:ascii="Calibri" w:hAnsi="Calibri"/>
                <w:b/>
                <w:bCs/>
                <w:color w:val="000000"/>
              </w:rPr>
              <w:t xml:space="preserve">   1,424 </w:t>
            </w:r>
          </w:p>
        </w:tc>
        <w:tc>
          <w:tcPr>
            <w:tcW w:w="719" w:type="dxa"/>
            <w:tcBorders>
              <w:top w:val="single" w:sz="4" w:space="0" w:color="95B3D7"/>
              <w:left w:val="nil"/>
              <w:bottom w:val="nil"/>
              <w:right w:val="nil"/>
            </w:tcBorders>
            <w:shd w:val="clear" w:color="DBE5F1" w:fill="DBE5F1"/>
            <w:noWrap/>
            <w:vAlign w:val="bottom"/>
            <w:hideMark/>
          </w:tcPr>
          <w:p w:rsidR="00424F23" w:rsidRDefault="00424F23" w:rsidP="00424F23">
            <w:pPr>
              <w:rPr>
                <w:rFonts w:ascii="Calibri" w:hAnsi="Calibri"/>
                <w:b/>
                <w:bCs/>
                <w:color w:val="000000"/>
              </w:rPr>
            </w:pPr>
            <w:r>
              <w:rPr>
                <w:rFonts w:ascii="Calibri" w:hAnsi="Calibri"/>
                <w:b/>
                <w:bCs/>
                <w:color w:val="000000"/>
              </w:rPr>
              <w:t xml:space="preserve">   1,439 </w:t>
            </w:r>
          </w:p>
        </w:tc>
        <w:tc>
          <w:tcPr>
            <w:tcW w:w="719" w:type="dxa"/>
            <w:tcBorders>
              <w:top w:val="single" w:sz="4" w:space="0" w:color="95B3D7"/>
              <w:left w:val="nil"/>
              <w:bottom w:val="nil"/>
              <w:right w:val="nil"/>
            </w:tcBorders>
            <w:shd w:val="clear" w:color="DBE5F1" w:fill="DBE5F1"/>
            <w:noWrap/>
            <w:vAlign w:val="bottom"/>
            <w:hideMark/>
          </w:tcPr>
          <w:p w:rsidR="00424F23" w:rsidRDefault="00424F23" w:rsidP="00424F23">
            <w:pPr>
              <w:rPr>
                <w:rFonts w:ascii="Calibri" w:hAnsi="Calibri"/>
                <w:b/>
                <w:bCs/>
                <w:color w:val="000000"/>
              </w:rPr>
            </w:pPr>
            <w:r>
              <w:rPr>
                <w:rFonts w:ascii="Calibri" w:hAnsi="Calibri"/>
                <w:b/>
                <w:bCs/>
                <w:color w:val="000000"/>
              </w:rPr>
              <w:t xml:space="preserve">   1,323 </w:t>
            </w:r>
          </w:p>
        </w:tc>
        <w:tc>
          <w:tcPr>
            <w:tcW w:w="719" w:type="dxa"/>
            <w:tcBorders>
              <w:top w:val="single" w:sz="4" w:space="0" w:color="95B3D7"/>
              <w:left w:val="nil"/>
              <w:bottom w:val="nil"/>
              <w:right w:val="nil"/>
            </w:tcBorders>
            <w:shd w:val="clear" w:color="DBE5F1" w:fill="DBE5F1"/>
            <w:noWrap/>
            <w:vAlign w:val="bottom"/>
            <w:hideMark/>
          </w:tcPr>
          <w:p w:rsidR="00424F23" w:rsidRDefault="00424F23" w:rsidP="00424F23">
            <w:pPr>
              <w:rPr>
                <w:rFonts w:ascii="Calibri" w:hAnsi="Calibri"/>
                <w:b/>
                <w:bCs/>
                <w:color w:val="000000"/>
              </w:rPr>
            </w:pPr>
            <w:r>
              <w:rPr>
                <w:rFonts w:ascii="Calibri" w:hAnsi="Calibri"/>
                <w:b/>
                <w:bCs/>
                <w:color w:val="000000"/>
              </w:rPr>
              <w:t xml:space="preserve">   1,362 </w:t>
            </w:r>
          </w:p>
        </w:tc>
        <w:tc>
          <w:tcPr>
            <w:tcW w:w="719" w:type="dxa"/>
            <w:tcBorders>
              <w:top w:val="single" w:sz="4" w:space="0" w:color="95B3D7"/>
              <w:left w:val="nil"/>
              <w:bottom w:val="nil"/>
              <w:right w:val="nil"/>
            </w:tcBorders>
            <w:shd w:val="clear" w:color="DBE5F1" w:fill="DBE5F1"/>
            <w:noWrap/>
            <w:vAlign w:val="bottom"/>
            <w:hideMark/>
          </w:tcPr>
          <w:p w:rsidR="00424F23" w:rsidRDefault="00424F23" w:rsidP="00424F23">
            <w:pPr>
              <w:rPr>
                <w:rFonts w:ascii="Calibri" w:hAnsi="Calibri"/>
                <w:b/>
                <w:bCs/>
                <w:color w:val="000000"/>
              </w:rPr>
            </w:pPr>
            <w:r>
              <w:rPr>
                <w:rFonts w:ascii="Calibri" w:hAnsi="Calibri"/>
                <w:b/>
                <w:bCs/>
                <w:color w:val="000000"/>
              </w:rPr>
              <w:t xml:space="preserve">   1,355 </w:t>
            </w:r>
          </w:p>
        </w:tc>
        <w:tc>
          <w:tcPr>
            <w:tcW w:w="1083" w:type="dxa"/>
            <w:tcBorders>
              <w:top w:val="single" w:sz="4" w:space="0" w:color="95B3D7"/>
              <w:left w:val="nil"/>
              <w:bottom w:val="nil"/>
              <w:right w:val="nil"/>
            </w:tcBorders>
            <w:shd w:val="clear" w:color="DBE5F1" w:fill="DBE5F1"/>
            <w:noWrap/>
            <w:vAlign w:val="bottom"/>
            <w:hideMark/>
          </w:tcPr>
          <w:p w:rsidR="00424F23" w:rsidRDefault="00424F23" w:rsidP="00424F23">
            <w:pPr>
              <w:rPr>
                <w:rFonts w:ascii="Calibri" w:hAnsi="Calibri"/>
                <w:b/>
                <w:bCs/>
                <w:color w:val="000000"/>
              </w:rPr>
            </w:pPr>
            <w:r>
              <w:rPr>
                <w:rFonts w:ascii="Calibri" w:hAnsi="Calibri"/>
                <w:b/>
                <w:bCs/>
                <w:color w:val="000000"/>
              </w:rPr>
              <w:t xml:space="preserve">             1,421 </w:t>
            </w:r>
          </w:p>
        </w:tc>
      </w:tr>
    </w:tbl>
    <w:p w:rsidR="00424F23" w:rsidRDefault="00424F23" w:rsidP="00B830B9">
      <w:pPr>
        <w:rPr>
          <w:rFonts w:ascii="Verdana" w:hAnsi="Verdana"/>
          <w:sz w:val="24"/>
          <w:szCs w:val="24"/>
        </w:rPr>
      </w:pPr>
    </w:p>
    <w:p w:rsidR="003127C9" w:rsidRDefault="003127C9" w:rsidP="00B830B9">
      <w:pPr>
        <w:rPr>
          <w:rFonts w:ascii="Verdana" w:hAnsi="Verdana"/>
          <w:sz w:val="24"/>
          <w:szCs w:val="24"/>
        </w:rPr>
      </w:pPr>
      <w:r>
        <w:rPr>
          <w:rFonts w:ascii="Verdana" w:hAnsi="Verdana"/>
          <w:sz w:val="24"/>
          <w:szCs w:val="24"/>
        </w:rPr>
        <w:t xml:space="preserve">Current minimum stocking standards are based on the assumption that few bad things happen to trees after age 15, and they assume that naturals will help fill in. Naturals will help but stands that rely on naturals should not be modelled as if they are managed stands following a regular planted distribution and the volume benefits that spatial distribution provides.  </w:t>
      </w:r>
    </w:p>
    <w:sectPr w:rsidR="003127C9" w:rsidSect="0059230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2D3A01"/>
    <w:multiLevelType w:val="hybridMultilevel"/>
    <w:tmpl w:val="31A60D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566DA"/>
    <w:rsid w:val="000274AE"/>
    <w:rsid w:val="00096C26"/>
    <w:rsid w:val="00111F49"/>
    <w:rsid w:val="0013592B"/>
    <w:rsid w:val="00191330"/>
    <w:rsid w:val="001E5E8A"/>
    <w:rsid w:val="001F4599"/>
    <w:rsid w:val="0020255F"/>
    <w:rsid w:val="0025447B"/>
    <w:rsid w:val="002B5ED7"/>
    <w:rsid w:val="003122AE"/>
    <w:rsid w:val="003127C9"/>
    <w:rsid w:val="003B3054"/>
    <w:rsid w:val="003E0A76"/>
    <w:rsid w:val="003F3F8C"/>
    <w:rsid w:val="00413EBA"/>
    <w:rsid w:val="00424F23"/>
    <w:rsid w:val="004278EE"/>
    <w:rsid w:val="004414FB"/>
    <w:rsid w:val="004A2B5B"/>
    <w:rsid w:val="004A4970"/>
    <w:rsid w:val="004C3A0F"/>
    <w:rsid w:val="00513FBF"/>
    <w:rsid w:val="00526EFF"/>
    <w:rsid w:val="0059230A"/>
    <w:rsid w:val="005D7273"/>
    <w:rsid w:val="00650E4C"/>
    <w:rsid w:val="00674A8A"/>
    <w:rsid w:val="00683102"/>
    <w:rsid w:val="006B0289"/>
    <w:rsid w:val="006F291B"/>
    <w:rsid w:val="007044F5"/>
    <w:rsid w:val="00707651"/>
    <w:rsid w:val="00714E1D"/>
    <w:rsid w:val="00784A4E"/>
    <w:rsid w:val="00794E12"/>
    <w:rsid w:val="008365F4"/>
    <w:rsid w:val="00853ED3"/>
    <w:rsid w:val="00856008"/>
    <w:rsid w:val="008B17CC"/>
    <w:rsid w:val="008F4E89"/>
    <w:rsid w:val="00993CCC"/>
    <w:rsid w:val="009A0AAE"/>
    <w:rsid w:val="009E71B1"/>
    <w:rsid w:val="00A1769F"/>
    <w:rsid w:val="00AD157F"/>
    <w:rsid w:val="00B269C0"/>
    <w:rsid w:val="00B830B9"/>
    <w:rsid w:val="00BE59F6"/>
    <w:rsid w:val="00C22470"/>
    <w:rsid w:val="00C5049E"/>
    <w:rsid w:val="00C82223"/>
    <w:rsid w:val="00CA3955"/>
    <w:rsid w:val="00CC188C"/>
    <w:rsid w:val="00D55626"/>
    <w:rsid w:val="00D6667A"/>
    <w:rsid w:val="00D73F3A"/>
    <w:rsid w:val="00D82116"/>
    <w:rsid w:val="00D84658"/>
    <w:rsid w:val="00D86080"/>
    <w:rsid w:val="00E4086A"/>
    <w:rsid w:val="00F027D5"/>
    <w:rsid w:val="00F566DA"/>
    <w:rsid w:val="00F931BE"/>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3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66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6DA"/>
    <w:rPr>
      <w:rFonts w:ascii="Tahoma" w:hAnsi="Tahoma" w:cs="Tahoma"/>
      <w:sz w:val="16"/>
      <w:szCs w:val="16"/>
    </w:rPr>
  </w:style>
  <w:style w:type="paragraph" w:styleId="ListParagraph">
    <w:name w:val="List Paragraph"/>
    <w:basedOn w:val="Normal"/>
    <w:uiPriority w:val="34"/>
    <w:qFormat/>
    <w:rsid w:val="00C82223"/>
    <w:pPr>
      <w:ind w:left="720"/>
      <w:contextualSpacing/>
    </w:pPr>
  </w:style>
</w:styles>
</file>

<file path=word/webSettings.xml><?xml version="1.0" encoding="utf-8"?>
<w:webSettings xmlns:r="http://schemas.openxmlformats.org/officeDocument/2006/relationships" xmlns:w="http://schemas.openxmlformats.org/wordprocessingml/2006/main">
  <w:divs>
    <w:div w:id="154959842">
      <w:bodyDiv w:val="1"/>
      <w:marLeft w:val="0"/>
      <w:marRight w:val="0"/>
      <w:marTop w:val="0"/>
      <w:marBottom w:val="0"/>
      <w:divBdr>
        <w:top w:val="none" w:sz="0" w:space="0" w:color="auto"/>
        <w:left w:val="none" w:sz="0" w:space="0" w:color="auto"/>
        <w:bottom w:val="none" w:sz="0" w:space="0" w:color="auto"/>
        <w:right w:val="none" w:sz="0" w:space="0" w:color="auto"/>
      </w:divBdr>
    </w:div>
    <w:div w:id="168722178">
      <w:bodyDiv w:val="1"/>
      <w:marLeft w:val="0"/>
      <w:marRight w:val="0"/>
      <w:marTop w:val="0"/>
      <w:marBottom w:val="0"/>
      <w:divBdr>
        <w:top w:val="none" w:sz="0" w:space="0" w:color="auto"/>
        <w:left w:val="none" w:sz="0" w:space="0" w:color="auto"/>
        <w:bottom w:val="none" w:sz="0" w:space="0" w:color="auto"/>
        <w:right w:val="none" w:sz="0" w:space="0" w:color="auto"/>
      </w:divBdr>
    </w:div>
    <w:div w:id="298606749">
      <w:bodyDiv w:val="1"/>
      <w:marLeft w:val="0"/>
      <w:marRight w:val="0"/>
      <w:marTop w:val="0"/>
      <w:marBottom w:val="0"/>
      <w:divBdr>
        <w:top w:val="none" w:sz="0" w:space="0" w:color="auto"/>
        <w:left w:val="none" w:sz="0" w:space="0" w:color="auto"/>
        <w:bottom w:val="none" w:sz="0" w:space="0" w:color="auto"/>
        <w:right w:val="none" w:sz="0" w:space="0" w:color="auto"/>
      </w:divBdr>
    </w:div>
    <w:div w:id="438525461">
      <w:bodyDiv w:val="1"/>
      <w:marLeft w:val="0"/>
      <w:marRight w:val="0"/>
      <w:marTop w:val="0"/>
      <w:marBottom w:val="0"/>
      <w:divBdr>
        <w:top w:val="none" w:sz="0" w:space="0" w:color="auto"/>
        <w:left w:val="none" w:sz="0" w:space="0" w:color="auto"/>
        <w:bottom w:val="none" w:sz="0" w:space="0" w:color="auto"/>
        <w:right w:val="none" w:sz="0" w:space="0" w:color="auto"/>
      </w:divBdr>
    </w:div>
    <w:div w:id="512572053">
      <w:bodyDiv w:val="1"/>
      <w:marLeft w:val="0"/>
      <w:marRight w:val="0"/>
      <w:marTop w:val="0"/>
      <w:marBottom w:val="0"/>
      <w:divBdr>
        <w:top w:val="none" w:sz="0" w:space="0" w:color="auto"/>
        <w:left w:val="none" w:sz="0" w:space="0" w:color="auto"/>
        <w:bottom w:val="none" w:sz="0" w:space="0" w:color="auto"/>
        <w:right w:val="none" w:sz="0" w:space="0" w:color="auto"/>
      </w:divBdr>
    </w:div>
    <w:div w:id="933705425">
      <w:bodyDiv w:val="1"/>
      <w:marLeft w:val="0"/>
      <w:marRight w:val="0"/>
      <w:marTop w:val="0"/>
      <w:marBottom w:val="0"/>
      <w:divBdr>
        <w:top w:val="none" w:sz="0" w:space="0" w:color="auto"/>
        <w:left w:val="none" w:sz="0" w:space="0" w:color="auto"/>
        <w:bottom w:val="none" w:sz="0" w:space="0" w:color="auto"/>
        <w:right w:val="none" w:sz="0" w:space="0" w:color="auto"/>
      </w:divBdr>
    </w:div>
    <w:div w:id="1060792350">
      <w:bodyDiv w:val="1"/>
      <w:marLeft w:val="0"/>
      <w:marRight w:val="0"/>
      <w:marTop w:val="0"/>
      <w:marBottom w:val="0"/>
      <w:divBdr>
        <w:top w:val="none" w:sz="0" w:space="0" w:color="auto"/>
        <w:left w:val="none" w:sz="0" w:space="0" w:color="auto"/>
        <w:bottom w:val="none" w:sz="0" w:space="0" w:color="auto"/>
        <w:right w:val="none" w:sz="0" w:space="0" w:color="auto"/>
      </w:divBdr>
    </w:div>
    <w:div w:id="1106803483">
      <w:bodyDiv w:val="1"/>
      <w:marLeft w:val="0"/>
      <w:marRight w:val="0"/>
      <w:marTop w:val="0"/>
      <w:marBottom w:val="0"/>
      <w:divBdr>
        <w:top w:val="none" w:sz="0" w:space="0" w:color="auto"/>
        <w:left w:val="none" w:sz="0" w:space="0" w:color="auto"/>
        <w:bottom w:val="none" w:sz="0" w:space="0" w:color="auto"/>
        <w:right w:val="none" w:sz="0" w:space="0" w:color="auto"/>
      </w:divBdr>
    </w:div>
    <w:div w:id="1236427834">
      <w:bodyDiv w:val="1"/>
      <w:marLeft w:val="0"/>
      <w:marRight w:val="0"/>
      <w:marTop w:val="0"/>
      <w:marBottom w:val="0"/>
      <w:divBdr>
        <w:top w:val="none" w:sz="0" w:space="0" w:color="auto"/>
        <w:left w:val="none" w:sz="0" w:space="0" w:color="auto"/>
        <w:bottom w:val="none" w:sz="0" w:space="0" w:color="auto"/>
        <w:right w:val="none" w:sz="0" w:space="0" w:color="auto"/>
      </w:divBdr>
    </w:div>
    <w:div w:id="1310672265">
      <w:bodyDiv w:val="1"/>
      <w:marLeft w:val="0"/>
      <w:marRight w:val="0"/>
      <w:marTop w:val="0"/>
      <w:marBottom w:val="0"/>
      <w:divBdr>
        <w:top w:val="none" w:sz="0" w:space="0" w:color="auto"/>
        <w:left w:val="none" w:sz="0" w:space="0" w:color="auto"/>
        <w:bottom w:val="none" w:sz="0" w:space="0" w:color="auto"/>
        <w:right w:val="none" w:sz="0" w:space="0" w:color="auto"/>
      </w:divBdr>
    </w:div>
    <w:div w:id="1901355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1082</Words>
  <Characters>6777</Characters>
  <Application>Microsoft Office Word</Application>
  <DocSecurity>0</DocSecurity>
  <Lines>130</Lines>
  <Paragraphs>67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7792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ajwoods</dc:creator>
  <cp:lastModifiedBy>Agathe Bernard</cp:lastModifiedBy>
  <cp:revision>2</cp:revision>
  <cp:lastPrinted>2012-06-18T23:01:00Z</cp:lastPrinted>
  <dcterms:created xsi:type="dcterms:W3CDTF">2013-11-09T00:02:00Z</dcterms:created>
  <dcterms:modified xsi:type="dcterms:W3CDTF">2013-11-09T00:02:00Z</dcterms:modified>
</cp:coreProperties>
</file>